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3E28" w14:textId="77777777" w:rsidR="000B641D" w:rsidRPr="001C675E" w:rsidRDefault="004C1EA4" w:rsidP="00B00A10">
      <w:pPr>
        <w:spacing w:after="266"/>
        <w:ind w:left="4962" w:hanging="3686"/>
        <w:rPr>
          <w:color w:val="auto"/>
        </w:rPr>
      </w:pPr>
      <w:r w:rsidRPr="00AC69B8">
        <w:rPr>
          <w:noProof/>
          <w:color w:val="auto"/>
        </w:rPr>
        <w:drawing>
          <wp:inline distT="0" distB="0" distL="0" distR="0" wp14:anchorId="31ECD38B" wp14:editId="657C4839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9D2" w:rsidRPr="00AC69B8">
        <w:rPr>
          <w:color w:val="auto"/>
        </w:rPr>
        <w:t xml:space="preserve">  </w:t>
      </w:r>
      <w:r w:rsidR="00B00A10">
        <w:rPr>
          <w:color w:val="auto"/>
        </w:rPr>
        <w:tab/>
      </w:r>
      <w:r w:rsidR="00B00A10" w:rsidRPr="001C675E">
        <w:rPr>
          <w:color w:val="auto"/>
        </w:rPr>
        <w:t>Wars</w:t>
      </w:r>
      <w:r w:rsidR="00ED1491" w:rsidRPr="001C675E">
        <w:rPr>
          <w:color w:val="auto"/>
        </w:rPr>
        <w:t xml:space="preserve">zawa, </w:t>
      </w:r>
      <w:r w:rsidR="00907750" w:rsidRPr="001C675E">
        <w:rPr>
          <w:color w:val="auto"/>
        </w:rPr>
        <w:t>/</w:t>
      </w:r>
      <w:r w:rsidR="00907750" w:rsidRPr="001C675E">
        <w:rPr>
          <w:i/>
          <w:color w:val="auto"/>
        </w:rPr>
        <w:t>elektroniczny znacznik czasu</w:t>
      </w:r>
      <w:r w:rsidR="00907750" w:rsidRPr="001C675E">
        <w:rPr>
          <w:color w:val="auto"/>
        </w:rPr>
        <w:t xml:space="preserve">/      </w:t>
      </w:r>
    </w:p>
    <w:p w14:paraId="5B2048DD" w14:textId="77777777" w:rsidR="000B641D" w:rsidRPr="002C7A12" w:rsidRDefault="009F3039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auto"/>
          <w:sz w:val="24"/>
        </w:rPr>
      </w:pPr>
      <w:r w:rsidRPr="002C7A12">
        <w:rPr>
          <w:rFonts w:asciiTheme="minorHAnsi" w:hAnsiTheme="minorHAnsi"/>
          <w:color w:val="auto"/>
        </w:rPr>
        <w:t xml:space="preserve">     </w:t>
      </w:r>
      <w:r w:rsidR="00A72014" w:rsidRPr="002C7A12">
        <w:rPr>
          <w:rFonts w:asciiTheme="minorHAnsi" w:hAnsiTheme="minorHAnsi"/>
          <w:color w:val="auto"/>
        </w:rPr>
        <w:t>MINISTER DO SPRAW UNII EUROPEJSKIEJ</w:t>
      </w:r>
    </w:p>
    <w:p w14:paraId="0098394E" w14:textId="77777777" w:rsidR="00A72014" w:rsidRPr="002C7A12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auto"/>
          <w:sz w:val="24"/>
        </w:rPr>
      </w:pPr>
      <w:r w:rsidRPr="002C7A12">
        <w:rPr>
          <w:rFonts w:asciiTheme="minorHAnsi" w:hAnsiTheme="minorHAnsi"/>
          <w:b/>
          <w:i/>
          <w:color w:val="auto"/>
          <w:sz w:val="24"/>
        </w:rPr>
        <w:t>Konrad Szymański</w:t>
      </w:r>
    </w:p>
    <w:p w14:paraId="6ADB11D7" w14:textId="061CEE34" w:rsidR="00BB1771" w:rsidRPr="002D6D44" w:rsidRDefault="0036308D" w:rsidP="00AD46D7">
      <w:pPr>
        <w:spacing w:after="0" w:line="240" w:lineRule="auto"/>
        <w:ind w:right="-45"/>
        <w:jc w:val="both"/>
        <w:rPr>
          <w:color w:val="auto"/>
        </w:rPr>
      </w:pPr>
      <w:r w:rsidRPr="002D6D44">
        <w:rPr>
          <w:color w:val="auto"/>
        </w:rPr>
        <w:t xml:space="preserve">Sygn. </w:t>
      </w:r>
      <w:r w:rsidR="00267E7F" w:rsidRPr="002D6D44">
        <w:rPr>
          <w:color w:val="auto"/>
        </w:rPr>
        <w:tab/>
      </w:r>
      <w:r w:rsidR="00610735" w:rsidRPr="002D6D44">
        <w:rPr>
          <w:color w:val="auto"/>
        </w:rPr>
        <w:t>DPUE.920.</w:t>
      </w:r>
      <w:r w:rsidR="00660098" w:rsidRPr="002D6D44">
        <w:rPr>
          <w:color w:val="auto"/>
        </w:rPr>
        <w:t>327</w:t>
      </w:r>
      <w:r w:rsidR="00C220DC" w:rsidRPr="002D6D44">
        <w:rPr>
          <w:color w:val="auto"/>
        </w:rPr>
        <w:t>.2022.</w:t>
      </w:r>
      <w:r w:rsidR="00267E7F" w:rsidRPr="002D6D44">
        <w:rPr>
          <w:color w:val="auto"/>
        </w:rPr>
        <w:t>MR</w:t>
      </w:r>
      <w:r w:rsidR="00CF51E9" w:rsidRPr="002D6D44">
        <w:rPr>
          <w:color w:val="auto"/>
        </w:rPr>
        <w:t>(</w:t>
      </w:r>
      <w:r w:rsidR="003E5621" w:rsidRPr="002D6D44">
        <w:rPr>
          <w:color w:val="auto"/>
        </w:rPr>
        <w:t>3</w:t>
      </w:r>
      <w:r w:rsidR="00630FC4" w:rsidRPr="002D6D44">
        <w:rPr>
          <w:color w:val="auto"/>
        </w:rPr>
        <w:t>)</w:t>
      </w:r>
    </w:p>
    <w:p w14:paraId="72A77C8F" w14:textId="08A8C5D2" w:rsidR="00660098" w:rsidRPr="002D6D44" w:rsidRDefault="00BE0F00" w:rsidP="00660098">
      <w:pPr>
        <w:spacing w:after="0" w:line="240" w:lineRule="auto"/>
        <w:ind w:right="-45"/>
        <w:jc w:val="both"/>
        <w:rPr>
          <w:color w:val="auto"/>
        </w:rPr>
      </w:pPr>
      <w:r w:rsidRPr="002D6D44">
        <w:rPr>
          <w:color w:val="auto"/>
        </w:rPr>
        <w:t xml:space="preserve">dot.: </w:t>
      </w:r>
      <w:r w:rsidR="00267E7F" w:rsidRPr="002D6D44">
        <w:rPr>
          <w:color w:val="auto"/>
        </w:rPr>
        <w:tab/>
      </w:r>
      <w:bookmarkStart w:id="0" w:name="ezdSprawaZnak"/>
      <w:r w:rsidR="00660098" w:rsidRPr="002D6D44">
        <w:rPr>
          <w:color w:val="auto"/>
        </w:rPr>
        <w:t>DP-WOPI.0220.54.2020.</w:t>
      </w:r>
      <w:bookmarkStart w:id="1" w:name="ezdAutorInicjaly"/>
      <w:r w:rsidR="00660098" w:rsidRPr="002D6D44">
        <w:rPr>
          <w:color w:val="auto"/>
        </w:rPr>
        <w:t>AM</w:t>
      </w:r>
      <w:bookmarkEnd w:id="1"/>
    </w:p>
    <w:p w14:paraId="1A4BA0D6" w14:textId="46DB0C63" w:rsidR="00115B1E" w:rsidRPr="002D6D44" w:rsidRDefault="00B00A10" w:rsidP="001C675E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2D6D44">
        <w:rPr>
          <w:rFonts w:asciiTheme="minorHAnsi" w:hAnsiTheme="minorHAnsi" w:cstheme="minorHAnsi"/>
          <w:color w:val="auto"/>
          <w:sz w:val="24"/>
          <w:szCs w:val="24"/>
        </w:rPr>
        <w:tab/>
      </w:r>
      <w:bookmarkEnd w:id="0"/>
    </w:p>
    <w:p w14:paraId="6266001E" w14:textId="77777777" w:rsidR="00B00A10" w:rsidRPr="001C675E" w:rsidRDefault="00115B1E" w:rsidP="001C675E">
      <w:pPr>
        <w:tabs>
          <w:tab w:val="left" w:pos="4962"/>
          <w:tab w:val="left" w:pos="5103"/>
        </w:tabs>
        <w:spacing w:after="120" w:line="240" w:lineRule="auto"/>
        <w:ind w:left="-425"/>
        <w:contextualSpacing/>
        <w:rPr>
          <w:b/>
          <w:color w:val="auto"/>
          <w:sz w:val="24"/>
          <w:szCs w:val="24"/>
        </w:rPr>
      </w:pPr>
      <w:r w:rsidRPr="002D6D44">
        <w:rPr>
          <w:rFonts w:asciiTheme="minorHAnsi" w:hAnsiTheme="minorHAnsi" w:cstheme="minorHAnsi"/>
          <w:color w:val="auto"/>
          <w:sz w:val="24"/>
          <w:szCs w:val="24"/>
        </w:rPr>
        <w:tab/>
      </w:r>
      <w:r w:rsidR="001B4D9A" w:rsidRPr="001C675E">
        <w:rPr>
          <w:b/>
          <w:color w:val="auto"/>
          <w:sz w:val="24"/>
          <w:szCs w:val="24"/>
        </w:rPr>
        <w:t>Pan</w:t>
      </w:r>
      <w:r w:rsidR="00C220DC" w:rsidRPr="001C675E">
        <w:rPr>
          <w:b/>
          <w:color w:val="auto"/>
          <w:sz w:val="24"/>
          <w:szCs w:val="24"/>
        </w:rPr>
        <w:t>i Anna Moskwa</w:t>
      </w:r>
    </w:p>
    <w:p w14:paraId="7E1F6416" w14:textId="77777777" w:rsidR="00E23D0D" w:rsidRPr="001C675E" w:rsidRDefault="00B00A10" w:rsidP="001C675E">
      <w:pPr>
        <w:tabs>
          <w:tab w:val="left" w:pos="4962"/>
          <w:tab w:val="left" w:pos="5103"/>
        </w:tabs>
        <w:spacing w:after="120" w:line="240" w:lineRule="auto"/>
        <w:ind w:left="-425"/>
        <w:contextualSpacing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ab/>
      </w:r>
      <w:r w:rsidR="00BB1771" w:rsidRPr="001C675E">
        <w:rPr>
          <w:b/>
          <w:color w:val="auto"/>
          <w:sz w:val="24"/>
          <w:szCs w:val="24"/>
        </w:rPr>
        <w:t xml:space="preserve">Minister </w:t>
      </w:r>
      <w:r w:rsidRPr="001C675E">
        <w:rPr>
          <w:b/>
          <w:color w:val="auto"/>
          <w:sz w:val="24"/>
          <w:szCs w:val="24"/>
        </w:rPr>
        <w:t>K</w:t>
      </w:r>
      <w:r w:rsidR="00BD16ED" w:rsidRPr="001C675E">
        <w:rPr>
          <w:b/>
          <w:color w:val="auto"/>
          <w:sz w:val="24"/>
          <w:szCs w:val="24"/>
        </w:rPr>
        <w:t>limatu i Środowiska</w:t>
      </w:r>
    </w:p>
    <w:p w14:paraId="29A4DCA4" w14:textId="6775AF0D" w:rsidR="00115B1E" w:rsidRPr="001C675E" w:rsidRDefault="00115B1E" w:rsidP="001C675E">
      <w:pPr>
        <w:autoSpaceDE w:val="0"/>
        <w:autoSpaceDN w:val="0"/>
        <w:adjustRightInd w:val="0"/>
        <w:spacing w:after="120" w:line="240" w:lineRule="auto"/>
        <w:rPr>
          <w:b/>
          <w:color w:val="auto"/>
          <w:sz w:val="24"/>
          <w:szCs w:val="24"/>
        </w:rPr>
      </w:pPr>
    </w:p>
    <w:p w14:paraId="34B14AF5" w14:textId="77777777" w:rsidR="00E23D0D" w:rsidRPr="001C675E" w:rsidRDefault="00E23D0D" w:rsidP="001C675E">
      <w:pPr>
        <w:autoSpaceDE w:val="0"/>
        <w:autoSpaceDN w:val="0"/>
        <w:adjustRightInd w:val="0"/>
        <w:spacing w:after="120" w:line="240" w:lineRule="auto"/>
        <w:contextualSpacing/>
        <w:jc w:val="center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Opinia</w:t>
      </w:r>
    </w:p>
    <w:p w14:paraId="10956882" w14:textId="6AF92EED" w:rsidR="00327801" w:rsidRPr="001C675E" w:rsidRDefault="00E23D0D" w:rsidP="001C675E">
      <w:pPr>
        <w:spacing w:after="120" w:line="240" w:lineRule="auto"/>
        <w:contextualSpacing/>
        <w:jc w:val="center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 xml:space="preserve">o zgodności z prawem Unii Europejskiej </w:t>
      </w:r>
      <w:r w:rsidR="00571BED" w:rsidRPr="001C675E">
        <w:rPr>
          <w:b/>
          <w:i/>
          <w:color w:val="auto"/>
          <w:sz w:val="24"/>
          <w:szCs w:val="24"/>
        </w:rPr>
        <w:t xml:space="preserve">projektu </w:t>
      </w:r>
      <w:r w:rsidR="00895EBC" w:rsidRPr="001C675E">
        <w:rPr>
          <w:b/>
          <w:i/>
          <w:color w:val="auto"/>
          <w:sz w:val="24"/>
          <w:szCs w:val="24"/>
        </w:rPr>
        <w:t xml:space="preserve">ustawy </w:t>
      </w:r>
      <w:r w:rsidR="00C220DC" w:rsidRPr="001C675E">
        <w:rPr>
          <w:b/>
          <w:i/>
          <w:color w:val="auto"/>
          <w:sz w:val="24"/>
          <w:szCs w:val="24"/>
        </w:rPr>
        <w:t>o zmianie ustawy o</w:t>
      </w:r>
      <w:r w:rsidR="00660098" w:rsidRPr="001C675E">
        <w:rPr>
          <w:b/>
          <w:i/>
          <w:color w:val="auto"/>
          <w:sz w:val="24"/>
          <w:szCs w:val="24"/>
        </w:rPr>
        <w:t xml:space="preserve"> odnawialnych źródłach energii </w:t>
      </w:r>
      <w:r w:rsidR="00C220DC" w:rsidRPr="001C675E">
        <w:rPr>
          <w:b/>
          <w:i/>
          <w:color w:val="auto"/>
          <w:sz w:val="24"/>
          <w:szCs w:val="24"/>
        </w:rPr>
        <w:t>oraz niektórych innych ustaw</w:t>
      </w:r>
      <w:r w:rsidR="00BD16ED" w:rsidRPr="001C675E">
        <w:rPr>
          <w:b/>
          <w:i/>
          <w:color w:val="auto"/>
          <w:sz w:val="24"/>
          <w:szCs w:val="24"/>
        </w:rPr>
        <w:t xml:space="preserve">, </w:t>
      </w:r>
      <w:r w:rsidR="003211D4" w:rsidRPr="001C675E">
        <w:rPr>
          <w:b/>
          <w:color w:val="auto"/>
          <w:sz w:val="24"/>
          <w:szCs w:val="24"/>
        </w:rPr>
        <w:t xml:space="preserve">wyrażona </w:t>
      </w:r>
      <w:r w:rsidR="00660098" w:rsidRPr="001C675E">
        <w:rPr>
          <w:b/>
          <w:color w:val="auto"/>
          <w:sz w:val="24"/>
          <w:szCs w:val="24"/>
        </w:rPr>
        <w:t>przez ministra właściwego</w:t>
      </w:r>
    </w:p>
    <w:p w14:paraId="26281B8F" w14:textId="44D67D9C" w:rsidR="00115B1E" w:rsidRPr="001C675E" w:rsidRDefault="003211D4" w:rsidP="001C675E">
      <w:pPr>
        <w:spacing w:after="120" w:line="240" w:lineRule="auto"/>
        <w:contextualSpacing/>
        <w:jc w:val="center"/>
        <w:rPr>
          <w:b/>
          <w:i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do</w:t>
      </w:r>
      <w:r w:rsidR="00B00A10" w:rsidRPr="001C675E">
        <w:rPr>
          <w:b/>
          <w:color w:val="auto"/>
          <w:sz w:val="24"/>
          <w:szCs w:val="24"/>
        </w:rPr>
        <w:t xml:space="preserve"> </w:t>
      </w:r>
      <w:r w:rsidRPr="001C675E">
        <w:rPr>
          <w:b/>
          <w:color w:val="auto"/>
          <w:sz w:val="24"/>
          <w:szCs w:val="24"/>
        </w:rPr>
        <w:t>spraw członkostwa Rzeczypospolitej Polskiej w</w:t>
      </w:r>
      <w:r w:rsidR="00267E7F" w:rsidRPr="001C675E">
        <w:rPr>
          <w:b/>
          <w:color w:val="auto"/>
          <w:sz w:val="24"/>
          <w:szCs w:val="24"/>
        </w:rPr>
        <w:t xml:space="preserve"> </w:t>
      </w:r>
      <w:r w:rsidRPr="001C675E">
        <w:rPr>
          <w:b/>
          <w:color w:val="auto"/>
          <w:sz w:val="24"/>
          <w:szCs w:val="24"/>
        </w:rPr>
        <w:t>Unii Europejskiej</w:t>
      </w:r>
    </w:p>
    <w:p w14:paraId="346D3B93" w14:textId="77777777" w:rsidR="001C675E" w:rsidRDefault="001C675E" w:rsidP="001C675E">
      <w:pPr>
        <w:spacing w:after="120" w:line="240" w:lineRule="auto"/>
        <w:jc w:val="both"/>
        <w:rPr>
          <w:i/>
          <w:color w:val="auto"/>
          <w:sz w:val="24"/>
          <w:szCs w:val="24"/>
        </w:rPr>
      </w:pPr>
    </w:p>
    <w:p w14:paraId="3FD7E01F" w14:textId="34C63F0A" w:rsidR="00E23D0D" w:rsidRPr="001C675E" w:rsidRDefault="00E23D0D" w:rsidP="001C675E">
      <w:pPr>
        <w:spacing w:after="120" w:line="240" w:lineRule="auto"/>
        <w:jc w:val="both"/>
        <w:rPr>
          <w:i/>
          <w:color w:val="auto"/>
          <w:sz w:val="24"/>
          <w:szCs w:val="24"/>
        </w:rPr>
      </w:pPr>
      <w:r w:rsidRPr="001C675E">
        <w:rPr>
          <w:i/>
          <w:color w:val="auto"/>
          <w:sz w:val="24"/>
          <w:szCs w:val="24"/>
        </w:rPr>
        <w:t>Szanown</w:t>
      </w:r>
      <w:r w:rsidR="00C220DC" w:rsidRPr="001C675E">
        <w:rPr>
          <w:i/>
          <w:color w:val="auto"/>
          <w:sz w:val="24"/>
          <w:szCs w:val="24"/>
        </w:rPr>
        <w:t>a Pani Minister,</w:t>
      </w:r>
    </w:p>
    <w:p w14:paraId="57BDD5F5" w14:textId="77777777" w:rsidR="005D5126" w:rsidRPr="001C675E" w:rsidRDefault="000F02B8" w:rsidP="001C675E">
      <w:pPr>
        <w:spacing w:after="120" w:line="240" w:lineRule="auto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w związku z przedstawionym projektem ustawy pozwalam sobie </w:t>
      </w:r>
      <w:r w:rsidR="00AC69B8" w:rsidRPr="001C675E">
        <w:rPr>
          <w:color w:val="auto"/>
          <w:sz w:val="24"/>
          <w:szCs w:val="24"/>
        </w:rPr>
        <w:t>wyrazić</w:t>
      </w:r>
      <w:r w:rsidRPr="001C675E">
        <w:rPr>
          <w:color w:val="auto"/>
          <w:sz w:val="24"/>
          <w:szCs w:val="24"/>
        </w:rPr>
        <w:t xml:space="preserve"> następujące uwagi. </w:t>
      </w:r>
    </w:p>
    <w:p w14:paraId="28C609E6" w14:textId="77777777" w:rsidR="00CB53A2" w:rsidRPr="001C675E" w:rsidRDefault="00C220DC" w:rsidP="001C675E">
      <w:pPr>
        <w:spacing w:after="120" w:line="240" w:lineRule="auto"/>
        <w:ind w:left="567" w:hanging="567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I.</w:t>
      </w:r>
      <w:r w:rsidRPr="001C675E">
        <w:rPr>
          <w:b/>
          <w:color w:val="auto"/>
          <w:sz w:val="24"/>
          <w:szCs w:val="24"/>
        </w:rPr>
        <w:tab/>
      </w:r>
      <w:r w:rsidR="00CB53A2" w:rsidRPr="001C675E">
        <w:rPr>
          <w:b/>
          <w:color w:val="auto"/>
          <w:sz w:val="24"/>
          <w:szCs w:val="24"/>
        </w:rPr>
        <w:t>Uwagi ogólne</w:t>
      </w:r>
    </w:p>
    <w:p w14:paraId="507673A0" w14:textId="7472B287" w:rsidR="00E3520B" w:rsidRPr="001C675E" w:rsidRDefault="005D73D6" w:rsidP="001C675E">
      <w:pPr>
        <w:pStyle w:val="Akapitzlist"/>
        <w:autoSpaceDE w:val="0"/>
        <w:autoSpaceDN w:val="0"/>
        <w:adjustRightInd w:val="0"/>
        <w:spacing w:after="120" w:line="240" w:lineRule="auto"/>
        <w:ind w:left="0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</w:t>
      </w:r>
      <w:r w:rsidR="00F25742" w:rsidRPr="001C675E">
        <w:rPr>
          <w:color w:val="auto"/>
          <w:sz w:val="24"/>
          <w:szCs w:val="24"/>
        </w:rPr>
        <w:t>rojekt służy wdrożeniu</w:t>
      </w:r>
      <w:r w:rsidR="00F25742" w:rsidRPr="001C675E">
        <w:rPr>
          <w:i/>
          <w:color w:val="auto"/>
          <w:sz w:val="24"/>
          <w:szCs w:val="24"/>
        </w:rPr>
        <w:t xml:space="preserve"> dyrektywy </w:t>
      </w:r>
      <w:bookmarkStart w:id="2" w:name="_Hlk43646454"/>
      <w:r w:rsidR="00C40900" w:rsidRPr="001C675E">
        <w:rPr>
          <w:i/>
          <w:color w:val="auto"/>
          <w:sz w:val="24"/>
          <w:szCs w:val="24"/>
        </w:rPr>
        <w:t>Parlamentu Europejskiego i Rady (UE) 201</w:t>
      </w:r>
      <w:r w:rsidR="00C220DC" w:rsidRPr="001C675E">
        <w:rPr>
          <w:i/>
          <w:color w:val="auto"/>
          <w:sz w:val="24"/>
          <w:szCs w:val="24"/>
        </w:rPr>
        <w:t xml:space="preserve">8/2001 </w:t>
      </w:r>
      <w:r w:rsidR="00EE1BE9" w:rsidRPr="001C675E">
        <w:rPr>
          <w:i/>
          <w:color w:val="auto"/>
          <w:sz w:val="24"/>
          <w:szCs w:val="24"/>
        </w:rPr>
        <w:t>z dnia 11 grudnia 2018 r. w sprawie promowania stosowania energii ze źródeł odnawialnych</w:t>
      </w:r>
      <w:bookmarkEnd w:id="2"/>
      <w:r w:rsidR="00A604A0" w:rsidRPr="001C675E">
        <w:rPr>
          <w:color w:val="auto"/>
          <w:sz w:val="24"/>
          <w:szCs w:val="24"/>
        </w:rPr>
        <w:t>.</w:t>
      </w:r>
      <w:r w:rsidR="00EE1BE9" w:rsidRPr="001C675E">
        <w:rPr>
          <w:color w:val="auto"/>
          <w:sz w:val="24"/>
          <w:szCs w:val="24"/>
        </w:rPr>
        <w:t xml:space="preserve"> </w:t>
      </w:r>
      <w:r w:rsidR="002A0FA7" w:rsidRPr="001C675E">
        <w:rPr>
          <w:color w:val="auto"/>
          <w:sz w:val="24"/>
          <w:szCs w:val="24"/>
        </w:rPr>
        <w:t>Projekt z</w:t>
      </w:r>
      <w:r w:rsidR="00EE1BE9" w:rsidRPr="001C675E">
        <w:rPr>
          <w:color w:val="auto"/>
          <w:sz w:val="24"/>
          <w:szCs w:val="24"/>
        </w:rPr>
        <w:t>awiera także przepisy, które wykraczają poza cel wdrożenia prawa UE.</w:t>
      </w:r>
    </w:p>
    <w:p w14:paraId="5EB445E8" w14:textId="26A58902" w:rsidR="00E97F37" w:rsidRPr="001C675E" w:rsidRDefault="00F1568D" w:rsidP="001C67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Zgodnie z § 30 ust. 1 pkt 1 </w:t>
      </w:r>
      <w:r w:rsidRPr="001C675E">
        <w:rPr>
          <w:i/>
          <w:color w:val="auto"/>
          <w:sz w:val="24"/>
          <w:szCs w:val="24"/>
        </w:rPr>
        <w:t>u</w:t>
      </w:r>
      <w:r w:rsidR="00AB589C" w:rsidRPr="001C675E">
        <w:rPr>
          <w:i/>
          <w:color w:val="auto"/>
          <w:sz w:val="24"/>
          <w:szCs w:val="24"/>
        </w:rPr>
        <w:t xml:space="preserve">chwały </w:t>
      </w:r>
      <w:r w:rsidR="00CE6E88" w:rsidRPr="001C675E">
        <w:rPr>
          <w:i/>
          <w:color w:val="auto"/>
          <w:sz w:val="24"/>
          <w:szCs w:val="24"/>
        </w:rPr>
        <w:t>n</w:t>
      </w:r>
      <w:r w:rsidR="00657F43" w:rsidRPr="001C675E">
        <w:rPr>
          <w:i/>
          <w:color w:val="auto"/>
          <w:sz w:val="24"/>
          <w:szCs w:val="24"/>
        </w:rPr>
        <w:t xml:space="preserve">r 190 Rady Ministrów </w:t>
      </w:r>
      <w:r w:rsidR="004A4222" w:rsidRPr="001C675E">
        <w:rPr>
          <w:i/>
          <w:color w:val="auto"/>
          <w:sz w:val="24"/>
          <w:szCs w:val="24"/>
        </w:rPr>
        <w:t>z dnia 29 października 2013 r.</w:t>
      </w:r>
      <w:r w:rsidR="008F2390" w:rsidRPr="001C675E">
        <w:rPr>
          <w:i/>
          <w:color w:val="auto"/>
          <w:sz w:val="24"/>
          <w:szCs w:val="24"/>
        </w:rPr>
        <w:t xml:space="preserve"> </w:t>
      </w:r>
      <w:r w:rsidR="00224669" w:rsidRPr="001C675E">
        <w:rPr>
          <w:i/>
          <w:color w:val="auto"/>
          <w:sz w:val="24"/>
          <w:szCs w:val="24"/>
        </w:rPr>
        <w:t>–</w:t>
      </w:r>
      <w:r w:rsidRPr="001C675E">
        <w:rPr>
          <w:i/>
          <w:color w:val="auto"/>
          <w:sz w:val="24"/>
          <w:szCs w:val="24"/>
        </w:rPr>
        <w:t xml:space="preserve"> </w:t>
      </w:r>
      <w:r w:rsidR="00657F43" w:rsidRPr="001C675E">
        <w:rPr>
          <w:i/>
          <w:color w:val="auto"/>
          <w:sz w:val="24"/>
          <w:szCs w:val="24"/>
        </w:rPr>
        <w:t>Regulamin pracy Rady Ministrów</w:t>
      </w:r>
      <w:r w:rsidR="00EA5683" w:rsidRPr="001C675E">
        <w:rPr>
          <w:i/>
          <w:color w:val="auto"/>
          <w:sz w:val="24"/>
          <w:szCs w:val="24"/>
        </w:rPr>
        <w:t>,</w:t>
      </w:r>
      <w:r w:rsidR="00657F43" w:rsidRPr="001C675E">
        <w:rPr>
          <w:i/>
          <w:color w:val="auto"/>
          <w:sz w:val="24"/>
          <w:szCs w:val="24"/>
        </w:rPr>
        <w:t xml:space="preserve"> </w:t>
      </w:r>
      <w:bookmarkStart w:id="3" w:name="mip36467843"/>
      <w:bookmarkEnd w:id="3"/>
      <w:r w:rsidR="00A276FA" w:rsidRPr="001C675E">
        <w:rPr>
          <w:color w:val="auto"/>
          <w:sz w:val="24"/>
          <w:szCs w:val="24"/>
        </w:rPr>
        <w:t xml:space="preserve">jeżeli projekt ustawy ma na celu wdrożenie prawa UE, organ wnioskujący dołącza do projektu </w:t>
      </w:r>
      <w:bookmarkStart w:id="4" w:name="mip36467845"/>
      <w:bookmarkStart w:id="5" w:name="highlightHit_0"/>
      <w:bookmarkEnd w:id="4"/>
      <w:bookmarkEnd w:id="5"/>
      <w:r w:rsidR="004D02BB" w:rsidRPr="001C675E">
        <w:rPr>
          <w:color w:val="auto"/>
          <w:sz w:val="24"/>
          <w:szCs w:val="24"/>
        </w:rPr>
        <w:t>tabelaryczne zestawienie przepisów dyrektywy lub</w:t>
      </w:r>
      <w:r w:rsidR="00A276FA" w:rsidRPr="001C675E">
        <w:rPr>
          <w:color w:val="auto"/>
          <w:sz w:val="24"/>
          <w:szCs w:val="24"/>
        </w:rPr>
        <w:t xml:space="preserve"> </w:t>
      </w:r>
      <w:r w:rsidR="004D02BB" w:rsidRPr="001C675E">
        <w:rPr>
          <w:color w:val="auto"/>
          <w:sz w:val="24"/>
          <w:szCs w:val="24"/>
        </w:rPr>
        <w:t>dyrektyw, których wdrożenie jest celem projektu, oraz</w:t>
      </w:r>
      <w:r w:rsidR="00C50235" w:rsidRPr="001C675E">
        <w:rPr>
          <w:color w:val="auto"/>
          <w:sz w:val="24"/>
          <w:szCs w:val="24"/>
        </w:rPr>
        <w:t xml:space="preserve"> </w:t>
      </w:r>
      <w:r w:rsidR="004D02BB" w:rsidRPr="001C675E">
        <w:rPr>
          <w:color w:val="auto"/>
          <w:sz w:val="24"/>
          <w:szCs w:val="24"/>
        </w:rPr>
        <w:t>projektowanych przepisów prawa polskiego, zwane „</w:t>
      </w:r>
      <w:bookmarkStart w:id="6" w:name="highlightHit_1"/>
      <w:bookmarkEnd w:id="6"/>
      <w:r w:rsidR="004D02BB" w:rsidRPr="001C675E">
        <w:rPr>
          <w:color w:val="auto"/>
          <w:sz w:val="24"/>
          <w:szCs w:val="24"/>
        </w:rPr>
        <w:t>tabelą zgodności”.</w:t>
      </w:r>
      <w:r w:rsidR="007F7423" w:rsidRPr="001C675E">
        <w:rPr>
          <w:color w:val="auto"/>
          <w:sz w:val="24"/>
          <w:szCs w:val="24"/>
        </w:rPr>
        <w:t xml:space="preserve"> </w:t>
      </w:r>
      <w:r w:rsidR="00DF0B49" w:rsidRPr="001C675E">
        <w:rPr>
          <w:color w:val="auto"/>
          <w:sz w:val="24"/>
          <w:szCs w:val="24"/>
        </w:rPr>
        <w:t>Tabela zgodności służy weryfikacji, czy</w:t>
      </w:r>
      <w:r w:rsidR="00224669" w:rsidRPr="001C675E">
        <w:rPr>
          <w:color w:val="auto"/>
          <w:sz w:val="24"/>
          <w:szCs w:val="24"/>
        </w:rPr>
        <w:t xml:space="preserve"> </w:t>
      </w:r>
      <w:r w:rsidR="00DF0B49" w:rsidRPr="001C675E">
        <w:rPr>
          <w:color w:val="auto"/>
          <w:sz w:val="24"/>
          <w:szCs w:val="24"/>
        </w:rPr>
        <w:t xml:space="preserve">przedstawiony projekt w pełni oraz prawidłowo </w:t>
      </w:r>
      <w:r w:rsidR="00E3520B" w:rsidRPr="001C675E">
        <w:rPr>
          <w:color w:val="auto"/>
          <w:sz w:val="24"/>
          <w:szCs w:val="24"/>
        </w:rPr>
        <w:t xml:space="preserve">wdraża </w:t>
      </w:r>
      <w:r w:rsidR="00DF0B49" w:rsidRPr="001C675E">
        <w:rPr>
          <w:color w:val="auto"/>
          <w:sz w:val="24"/>
          <w:szCs w:val="24"/>
        </w:rPr>
        <w:t>wskazany akt</w:t>
      </w:r>
      <w:r w:rsidR="00E97F37" w:rsidRPr="001C675E">
        <w:rPr>
          <w:color w:val="auto"/>
          <w:sz w:val="24"/>
          <w:szCs w:val="24"/>
        </w:rPr>
        <w:t xml:space="preserve"> </w:t>
      </w:r>
      <w:r w:rsidR="00DF0B49" w:rsidRPr="001C675E">
        <w:rPr>
          <w:color w:val="auto"/>
          <w:sz w:val="24"/>
          <w:szCs w:val="24"/>
        </w:rPr>
        <w:t>prawa unijnego. Jest również dokumentem, który po uchwaleniu krajowego aktu prawnego</w:t>
      </w:r>
      <w:r w:rsidR="00E42CD4" w:rsidRPr="001C675E">
        <w:rPr>
          <w:color w:val="auto"/>
          <w:sz w:val="24"/>
          <w:szCs w:val="24"/>
        </w:rPr>
        <w:t xml:space="preserve"> </w:t>
      </w:r>
      <w:r w:rsidR="00DF0B49" w:rsidRPr="001C675E">
        <w:rPr>
          <w:color w:val="auto"/>
          <w:sz w:val="24"/>
          <w:szCs w:val="24"/>
        </w:rPr>
        <w:t>jest</w:t>
      </w:r>
      <w:r w:rsidR="00A276FA" w:rsidRPr="001C675E">
        <w:rPr>
          <w:color w:val="auto"/>
          <w:sz w:val="24"/>
          <w:szCs w:val="24"/>
        </w:rPr>
        <w:t xml:space="preserve"> </w:t>
      </w:r>
      <w:r w:rsidR="00DF0B49" w:rsidRPr="001C675E">
        <w:rPr>
          <w:color w:val="auto"/>
          <w:sz w:val="24"/>
          <w:szCs w:val="24"/>
        </w:rPr>
        <w:t xml:space="preserve">notyfikowany Komisji Europejskiej wraz z tym aktem w celu </w:t>
      </w:r>
      <w:r w:rsidR="00870E0E" w:rsidRPr="001C675E">
        <w:rPr>
          <w:color w:val="auto"/>
          <w:sz w:val="24"/>
          <w:szCs w:val="24"/>
        </w:rPr>
        <w:t xml:space="preserve">umożliwienia Komisji </w:t>
      </w:r>
      <w:r w:rsidR="00DF0B49" w:rsidRPr="001C675E">
        <w:rPr>
          <w:color w:val="auto"/>
          <w:sz w:val="24"/>
          <w:szCs w:val="24"/>
        </w:rPr>
        <w:t xml:space="preserve">dokonania oceny kompletności oraz prawidłowości </w:t>
      </w:r>
      <w:r w:rsidR="00AF5373" w:rsidRPr="001C675E">
        <w:rPr>
          <w:color w:val="auto"/>
          <w:sz w:val="24"/>
          <w:szCs w:val="24"/>
        </w:rPr>
        <w:t>wdrożenia</w:t>
      </w:r>
      <w:r w:rsidR="00DF0B49" w:rsidRPr="001C675E">
        <w:rPr>
          <w:color w:val="auto"/>
          <w:sz w:val="24"/>
          <w:szCs w:val="24"/>
        </w:rPr>
        <w:t>.</w:t>
      </w:r>
      <w:r w:rsidR="00676245" w:rsidRPr="001C675E">
        <w:rPr>
          <w:color w:val="auto"/>
          <w:sz w:val="24"/>
          <w:szCs w:val="24"/>
        </w:rPr>
        <w:t xml:space="preserve"> Zgodnie z pkt 59 wyroku </w:t>
      </w:r>
      <w:r w:rsidR="00E42CD4" w:rsidRPr="001C675E">
        <w:rPr>
          <w:color w:val="auto"/>
          <w:sz w:val="24"/>
          <w:szCs w:val="24"/>
        </w:rPr>
        <w:t>T</w:t>
      </w:r>
      <w:r w:rsidR="00A276FA" w:rsidRPr="001C675E">
        <w:rPr>
          <w:color w:val="auto"/>
          <w:sz w:val="24"/>
          <w:szCs w:val="24"/>
        </w:rPr>
        <w:t xml:space="preserve">SUE </w:t>
      </w:r>
      <w:r w:rsidR="00676245" w:rsidRPr="001C675E">
        <w:rPr>
          <w:color w:val="auto"/>
          <w:sz w:val="24"/>
          <w:szCs w:val="24"/>
        </w:rPr>
        <w:t xml:space="preserve">z dnia </w:t>
      </w:r>
      <w:r w:rsidR="00676245" w:rsidRPr="001C675E">
        <w:rPr>
          <w:rFonts w:eastAsiaTheme="minorHAnsi"/>
          <w:color w:val="auto"/>
          <w:sz w:val="24"/>
          <w:szCs w:val="24"/>
          <w:lang w:eastAsia="en-US"/>
        </w:rPr>
        <w:t>8 lipca 2019 r.</w:t>
      </w:r>
      <w:r w:rsidR="00D22EF9" w:rsidRPr="001C675E">
        <w:rPr>
          <w:rFonts w:eastAsiaTheme="minorHAnsi"/>
          <w:color w:val="auto"/>
          <w:sz w:val="24"/>
          <w:szCs w:val="24"/>
          <w:lang w:eastAsia="en-US"/>
        </w:rPr>
        <w:t xml:space="preserve"> w sprawie</w:t>
      </w:r>
      <w:r w:rsidR="009E60E0" w:rsidRPr="001C675E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="00676245" w:rsidRPr="001C675E">
        <w:rPr>
          <w:rFonts w:eastAsiaTheme="minorHAnsi"/>
          <w:color w:val="auto"/>
          <w:sz w:val="24"/>
          <w:szCs w:val="24"/>
          <w:lang w:eastAsia="en-US"/>
        </w:rPr>
        <w:t>C-543/17</w:t>
      </w:r>
      <w:r w:rsidR="00D22EF9" w:rsidRPr="001C675E">
        <w:rPr>
          <w:rFonts w:eastAsiaTheme="minorHAnsi"/>
          <w:i/>
          <w:color w:val="auto"/>
          <w:sz w:val="24"/>
          <w:szCs w:val="24"/>
          <w:lang w:eastAsia="en-US"/>
        </w:rPr>
        <w:t xml:space="preserve"> Komisja p.</w:t>
      </w:r>
      <w:r w:rsidR="00E97F37" w:rsidRPr="001C675E">
        <w:rPr>
          <w:rFonts w:eastAsiaTheme="minorHAnsi"/>
          <w:i/>
          <w:color w:val="auto"/>
          <w:sz w:val="24"/>
          <w:szCs w:val="24"/>
          <w:lang w:eastAsia="en-US"/>
        </w:rPr>
        <w:t xml:space="preserve"> </w:t>
      </w:r>
      <w:r w:rsidR="00D22EF9" w:rsidRPr="001C675E">
        <w:rPr>
          <w:rFonts w:eastAsiaTheme="minorHAnsi"/>
          <w:i/>
          <w:color w:val="auto"/>
          <w:sz w:val="24"/>
          <w:szCs w:val="24"/>
          <w:lang w:eastAsia="en-US"/>
        </w:rPr>
        <w:t>Belgii</w:t>
      </w:r>
      <w:r w:rsidR="00D22EF9" w:rsidRPr="001C675E">
        <w:rPr>
          <w:rFonts w:eastAsiaTheme="minorHAnsi"/>
          <w:color w:val="auto"/>
          <w:sz w:val="24"/>
          <w:szCs w:val="24"/>
          <w:lang w:eastAsia="en-US"/>
        </w:rPr>
        <w:t>,</w:t>
      </w:r>
      <w:r w:rsidR="00676245" w:rsidRPr="001C675E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="00676245" w:rsidRPr="001C675E">
        <w:rPr>
          <w:color w:val="auto"/>
          <w:sz w:val="24"/>
          <w:szCs w:val="24"/>
        </w:rPr>
        <w:t>obowiązek poinformowania o środkach podjętych w celu transpozycji</w:t>
      </w:r>
      <w:r w:rsidR="009A29C5" w:rsidRPr="001C675E">
        <w:rPr>
          <w:color w:val="auto"/>
          <w:sz w:val="24"/>
          <w:szCs w:val="24"/>
        </w:rPr>
        <w:t xml:space="preserve"> </w:t>
      </w:r>
      <w:r w:rsidR="00676245" w:rsidRPr="001C675E">
        <w:rPr>
          <w:color w:val="auto"/>
          <w:sz w:val="24"/>
          <w:szCs w:val="24"/>
        </w:rPr>
        <w:t>dotyczy przekazania wystarczająco jasnych i precyzyjnych informacji o</w:t>
      </w:r>
      <w:r w:rsidR="00A276FA" w:rsidRPr="001C675E">
        <w:rPr>
          <w:color w:val="auto"/>
          <w:sz w:val="24"/>
          <w:szCs w:val="24"/>
        </w:rPr>
        <w:t xml:space="preserve"> </w:t>
      </w:r>
      <w:r w:rsidR="00AF5373" w:rsidRPr="001C675E">
        <w:rPr>
          <w:color w:val="auto"/>
          <w:sz w:val="24"/>
          <w:szCs w:val="24"/>
        </w:rPr>
        <w:t>przepisach wdrażających</w:t>
      </w:r>
      <w:r w:rsidR="00676245" w:rsidRPr="001C675E">
        <w:rPr>
          <w:color w:val="auto"/>
          <w:sz w:val="24"/>
          <w:szCs w:val="24"/>
        </w:rPr>
        <w:t xml:space="preserve"> dyrektywę. </w:t>
      </w:r>
      <w:r w:rsidR="009A29C5" w:rsidRPr="001C675E">
        <w:rPr>
          <w:color w:val="auto"/>
          <w:sz w:val="24"/>
          <w:szCs w:val="24"/>
        </w:rPr>
        <w:t>P</w:t>
      </w:r>
      <w:r w:rsidR="00676245" w:rsidRPr="001C675E">
        <w:rPr>
          <w:color w:val="auto"/>
          <w:sz w:val="24"/>
          <w:szCs w:val="24"/>
        </w:rPr>
        <w:t>aństwa członkowskie są zobowiązane do wskazania, w</w:t>
      </w:r>
      <w:r w:rsidR="006839C7" w:rsidRPr="001C675E">
        <w:rPr>
          <w:color w:val="auto"/>
          <w:sz w:val="24"/>
          <w:szCs w:val="24"/>
        </w:rPr>
        <w:t xml:space="preserve"> </w:t>
      </w:r>
      <w:r w:rsidR="00676245" w:rsidRPr="001C675E">
        <w:rPr>
          <w:color w:val="auto"/>
          <w:sz w:val="24"/>
          <w:szCs w:val="24"/>
        </w:rPr>
        <w:t>odniesieniu do</w:t>
      </w:r>
      <w:r w:rsidR="00EE1BE9" w:rsidRPr="001C675E">
        <w:rPr>
          <w:color w:val="auto"/>
          <w:sz w:val="24"/>
          <w:szCs w:val="24"/>
        </w:rPr>
        <w:t xml:space="preserve"> </w:t>
      </w:r>
      <w:r w:rsidR="00676245" w:rsidRPr="001C675E">
        <w:rPr>
          <w:color w:val="auto"/>
          <w:sz w:val="24"/>
          <w:szCs w:val="24"/>
        </w:rPr>
        <w:t>każdego przepisu danej dyrektywy</w:t>
      </w:r>
      <w:r w:rsidR="005F431F" w:rsidRPr="001C675E">
        <w:rPr>
          <w:color w:val="auto"/>
          <w:sz w:val="24"/>
          <w:szCs w:val="24"/>
        </w:rPr>
        <w:t>,</w:t>
      </w:r>
      <w:r w:rsidR="00676245" w:rsidRPr="001C675E">
        <w:rPr>
          <w:color w:val="auto"/>
          <w:sz w:val="24"/>
          <w:szCs w:val="24"/>
        </w:rPr>
        <w:t xml:space="preserve"> przepisu lub przepisów krajowych zapewniających jego </w:t>
      </w:r>
      <w:r w:rsidR="006465A3" w:rsidRPr="001C675E">
        <w:rPr>
          <w:color w:val="auto"/>
          <w:sz w:val="24"/>
          <w:szCs w:val="24"/>
        </w:rPr>
        <w:t>wdrożenie</w:t>
      </w:r>
      <w:r w:rsidR="00676245" w:rsidRPr="001C675E">
        <w:rPr>
          <w:color w:val="auto"/>
          <w:sz w:val="24"/>
          <w:szCs w:val="24"/>
        </w:rPr>
        <w:t>.</w:t>
      </w:r>
    </w:p>
    <w:p w14:paraId="44EAB590" w14:textId="77777777" w:rsidR="00E97F37" w:rsidRPr="001C675E" w:rsidRDefault="00E97F37" w:rsidP="001C675E">
      <w:pPr>
        <w:autoSpaceDE w:val="0"/>
        <w:autoSpaceDN w:val="0"/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Uwzględniając powyższe wymagania, pragnę wskazać, że:</w:t>
      </w:r>
    </w:p>
    <w:p w14:paraId="042A81D1" w14:textId="60DBB0F8" w:rsidR="006839C7" w:rsidRPr="001C675E" w:rsidRDefault="00183BC5" w:rsidP="001C675E">
      <w:pPr>
        <w:pStyle w:val="Akapitzlist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tabela zgodności</w:t>
      </w:r>
      <w:r w:rsidR="001C1D5D" w:rsidRPr="001C675E">
        <w:rPr>
          <w:color w:val="auto"/>
          <w:sz w:val="24"/>
          <w:szCs w:val="24"/>
        </w:rPr>
        <w:t xml:space="preserve"> </w:t>
      </w:r>
      <w:r w:rsidR="00852ECD" w:rsidRPr="001C675E">
        <w:rPr>
          <w:color w:val="auto"/>
          <w:sz w:val="24"/>
          <w:szCs w:val="24"/>
        </w:rPr>
        <w:t xml:space="preserve">powinna być kompletna, a załączona do projektu </w:t>
      </w:r>
      <w:r w:rsidR="006839C7" w:rsidRPr="001C675E">
        <w:rPr>
          <w:color w:val="auto"/>
          <w:sz w:val="24"/>
          <w:szCs w:val="24"/>
        </w:rPr>
        <w:t xml:space="preserve">nie uwzględnia wszystkich przepisów </w:t>
      </w:r>
      <w:r w:rsidR="006839C7" w:rsidRPr="001C675E">
        <w:rPr>
          <w:bCs/>
          <w:color w:val="auto"/>
          <w:sz w:val="24"/>
          <w:szCs w:val="24"/>
        </w:rPr>
        <w:t>dyrek</w:t>
      </w:r>
      <w:r w:rsidR="0000056C" w:rsidRPr="001C675E">
        <w:rPr>
          <w:bCs/>
          <w:color w:val="auto"/>
          <w:sz w:val="24"/>
          <w:szCs w:val="24"/>
        </w:rPr>
        <w:t>tywy 2018/2001</w:t>
      </w:r>
      <w:r w:rsidR="006839C7" w:rsidRPr="001C675E">
        <w:rPr>
          <w:bCs/>
          <w:color w:val="auto"/>
          <w:sz w:val="24"/>
          <w:szCs w:val="24"/>
        </w:rPr>
        <w:t>;</w:t>
      </w:r>
    </w:p>
    <w:p w14:paraId="29EDBCB3" w14:textId="3FEBCBA5" w:rsidR="00E97F37" w:rsidRPr="001C675E" w:rsidRDefault="00E97F37" w:rsidP="001C675E">
      <w:pPr>
        <w:pStyle w:val="Akapitzlist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wszystkie </w:t>
      </w:r>
      <w:r w:rsidR="00224669" w:rsidRPr="001C675E">
        <w:rPr>
          <w:color w:val="auto"/>
          <w:sz w:val="24"/>
          <w:szCs w:val="24"/>
        </w:rPr>
        <w:t xml:space="preserve">wdrażane </w:t>
      </w:r>
      <w:r w:rsidRPr="001C675E">
        <w:rPr>
          <w:color w:val="auto"/>
          <w:sz w:val="24"/>
          <w:szCs w:val="24"/>
        </w:rPr>
        <w:t xml:space="preserve">przepisy </w:t>
      </w:r>
      <w:r w:rsidR="00224669" w:rsidRPr="001C675E">
        <w:rPr>
          <w:color w:val="auto"/>
          <w:sz w:val="24"/>
          <w:szCs w:val="24"/>
        </w:rPr>
        <w:t xml:space="preserve">dyrektywy </w:t>
      </w:r>
      <w:r w:rsidRPr="001C675E">
        <w:rPr>
          <w:color w:val="auto"/>
          <w:sz w:val="24"/>
          <w:szCs w:val="24"/>
        </w:rPr>
        <w:t xml:space="preserve">powinny zostać ujęte w tabeli zgodności </w:t>
      </w:r>
      <w:r w:rsidR="00636422" w:rsidRPr="001C675E">
        <w:rPr>
          <w:color w:val="auto"/>
          <w:sz w:val="24"/>
          <w:szCs w:val="24"/>
        </w:rPr>
        <w:t>jako wymagające albo</w:t>
      </w:r>
      <w:r w:rsidRPr="001C675E">
        <w:rPr>
          <w:color w:val="auto"/>
          <w:sz w:val="24"/>
          <w:szCs w:val="24"/>
        </w:rPr>
        <w:t xml:space="preserve"> niewymagające transpozycji; okoliczność, że</w:t>
      </w:r>
      <w:r w:rsidR="005511FC" w:rsidRPr="001C675E">
        <w:rPr>
          <w:color w:val="auto"/>
          <w:sz w:val="24"/>
          <w:szCs w:val="24"/>
        </w:rPr>
        <w:t xml:space="preserve"> </w:t>
      </w:r>
      <w:r w:rsidRPr="001C675E">
        <w:rPr>
          <w:color w:val="auto"/>
          <w:sz w:val="24"/>
          <w:szCs w:val="24"/>
        </w:rPr>
        <w:t xml:space="preserve">określony przepis </w:t>
      </w:r>
      <w:r w:rsidR="00F47E9D" w:rsidRPr="001C675E">
        <w:rPr>
          <w:color w:val="auto"/>
          <w:sz w:val="24"/>
          <w:szCs w:val="24"/>
        </w:rPr>
        <w:t xml:space="preserve">lub jego część </w:t>
      </w:r>
      <w:r w:rsidRPr="001C675E">
        <w:rPr>
          <w:color w:val="auto"/>
          <w:sz w:val="24"/>
          <w:szCs w:val="24"/>
        </w:rPr>
        <w:t xml:space="preserve">został już wdrożony w obowiązujących przepisach nie oznacza, że </w:t>
      </w:r>
      <w:r w:rsidR="00E83D7D" w:rsidRPr="001C675E">
        <w:rPr>
          <w:color w:val="auto"/>
          <w:sz w:val="24"/>
          <w:szCs w:val="24"/>
        </w:rPr>
        <w:t xml:space="preserve">można </w:t>
      </w:r>
      <w:r w:rsidR="00E83D7D" w:rsidRPr="001C675E">
        <w:rPr>
          <w:color w:val="auto"/>
          <w:sz w:val="24"/>
          <w:szCs w:val="24"/>
        </w:rPr>
        <w:lastRenderedPageBreak/>
        <w:t>oznaczyć go jako niewymag</w:t>
      </w:r>
      <w:r w:rsidR="00CE542B" w:rsidRPr="001C675E">
        <w:rPr>
          <w:color w:val="auto"/>
          <w:sz w:val="24"/>
          <w:szCs w:val="24"/>
        </w:rPr>
        <w:t>a</w:t>
      </w:r>
      <w:r w:rsidR="00E83D7D" w:rsidRPr="001C675E">
        <w:rPr>
          <w:color w:val="auto"/>
          <w:sz w:val="24"/>
          <w:szCs w:val="24"/>
        </w:rPr>
        <w:t>j</w:t>
      </w:r>
      <w:r w:rsidR="00CE542B" w:rsidRPr="001C675E">
        <w:rPr>
          <w:color w:val="auto"/>
          <w:sz w:val="24"/>
          <w:szCs w:val="24"/>
        </w:rPr>
        <w:t>ą</w:t>
      </w:r>
      <w:r w:rsidR="00E83D7D" w:rsidRPr="001C675E">
        <w:rPr>
          <w:color w:val="auto"/>
          <w:sz w:val="24"/>
          <w:szCs w:val="24"/>
        </w:rPr>
        <w:t>cy</w:t>
      </w:r>
      <w:r w:rsidRPr="001C675E">
        <w:rPr>
          <w:color w:val="auto"/>
          <w:sz w:val="24"/>
          <w:szCs w:val="24"/>
        </w:rPr>
        <w:t xml:space="preserve"> wdrożenia</w:t>
      </w:r>
      <w:r w:rsidR="0037125A" w:rsidRPr="001C675E">
        <w:rPr>
          <w:color w:val="auto"/>
          <w:sz w:val="24"/>
          <w:szCs w:val="24"/>
        </w:rPr>
        <w:t xml:space="preserve"> </w:t>
      </w:r>
      <w:r w:rsidR="00224669" w:rsidRPr="001C675E">
        <w:rPr>
          <w:color w:val="auto"/>
          <w:sz w:val="24"/>
          <w:szCs w:val="24"/>
        </w:rPr>
        <w:t>–</w:t>
      </w:r>
      <w:r w:rsidRPr="001C675E">
        <w:rPr>
          <w:color w:val="auto"/>
          <w:sz w:val="24"/>
          <w:szCs w:val="24"/>
        </w:rPr>
        <w:t xml:space="preserve"> tabela zgodności powinna wskazywać</w:t>
      </w:r>
      <w:r w:rsidR="002D3422" w:rsidRPr="001C675E">
        <w:rPr>
          <w:color w:val="auto"/>
          <w:sz w:val="24"/>
          <w:szCs w:val="24"/>
        </w:rPr>
        <w:t>,</w:t>
      </w:r>
      <w:r w:rsidRPr="001C675E">
        <w:rPr>
          <w:color w:val="auto"/>
          <w:sz w:val="24"/>
          <w:szCs w:val="24"/>
        </w:rPr>
        <w:t xml:space="preserve"> które przepisy dyrektywy zostały już wdrożone i</w:t>
      </w:r>
      <w:r w:rsidR="005511FC" w:rsidRPr="001C675E">
        <w:rPr>
          <w:color w:val="auto"/>
          <w:sz w:val="24"/>
          <w:szCs w:val="24"/>
        </w:rPr>
        <w:t xml:space="preserve"> </w:t>
      </w:r>
      <w:r w:rsidRPr="001C675E">
        <w:rPr>
          <w:color w:val="auto"/>
          <w:sz w:val="24"/>
          <w:szCs w:val="24"/>
        </w:rPr>
        <w:t>w jaki sposób;</w:t>
      </w:r>
    </w:p>
    <w:p w14:paraId="206CEF81" w14:textId="7CFCA567" w:rsidR="00E97F37" w:rsidRPr="001C675E" w:rsidRDefault="00E97F37" w:rsidP="001C675E">
      <w:pPr>
        <w:pStyle w:val="Akapitzlist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okoliczność, że określony przepis </w:t>
      </w:r>
      <w:r w:rsidR="002A1AD9" w:rsidRPr="001C675E">
        <w:rPr>
          <w:color w:val="auto"/>
          <w:sz w:val="24"/>
          <w:szCs w:val="24"/>
        </w:rPr>
        <w:t xml:space="preserve">dyrektywy </w:t>
      </w:r>
      <w:r w:rsidR="00046844" w:rsidRPr="001C675E">
        <w:rPr>
          <w:color w:val="auto"/>
          <w:sz w:val="24"/>
          <w:szCs w:val="24"/>
        </w:rPr>
        <w:t xml:space="preserve">2018/2001 </w:t>
      </w:r>
      <w:r w:rsidRPr="001C675E">
        <w:rPr>
          <w:color w:val="auto"/>
          <w:sz w:val="24"/>
          <w:szCs w:val="24"/>
        </w:rPr>
        <w:t>będzie wdrażany w</w:t>
      </w:r>
      <w:r w:rsidR="005511FC" w:rsidRPr="001C675E">
        <w:rPr>
          <w:color w:val="auto"/>
          <w:sz w:val="24"/>
          <w:szCs w:val="24"/>
        </w:rPr>
        <w:t xml:space="preserve"> </w:t>
      </w:r>
      <w:r w:rsidR="005511FC" w:rsidRPr="001C675E">
        <w:rPr>
          <w:i/>
          <w:color w:val="auto"/>
          <w:sz w:val="24"/>
          <w:szCs w:val="24"/>
        </w:rPr>
        <w:t xml:space="preserve">projekcie ustawy o zmianie ustawy o biokomponentach i biopaliwach ciekłych oraz niektórych innych ustaw </w:t>
      </w:r>
      <w:r w:rsidR="00E16BD9" w:rsidRPr="001C675E">
        <w:rPr>
          <w:i/>
          <w:color w:val="auto"/>
          <w:sz w:val="24"/>
          <w:szCs w:val="24"/>
        </w:rPr>
        <w:t>(</w:t>
      </w:r>
      <w:r w:rsidRPr="001C675E">
        <w:rPr>
          <w:i/>
          <w:color w:val="auto"/>
          <w:sz w:val="24"/>
          <w:szCs w:val="24"/>
        </w:rPr>
        <w:t>UC</w:t>
      </w:r>
      <w:r w:rsidR="005511FC" w:rsidRPr="001C675E">
        <w:rPr>
          <w:i/>
          <w:color w:val="auto"/>
          <w:sz w:val="24"/>
          <w:szCs w:val="24"/>
        </w:rPr>
        <w:t xml:space="preserve"> 110</w:t>
      </w:r>
      <w:r w:rsidRPr="001C675E">
        <w:rPr>
          <w:i/>
          <w:color w:val="auto"/>
          <w:sz w:val="24"/>
          <w:szCs w:val="24"/>
        </w:rPr>
        <w:t>)</w:t>
      </w:r>
      <w:r w:rsidRPr="001C675E">
        <w:rPr>
          <w:color w:val="auto"/>
          <w:sz w:val="24"/>
          <w:szCs w:val="24"/>
        </w:rPr>
        <w:t xml:space="preserve"> lub w </w:t>
      </w:r>
      <w:r w:rsidRPr="001C675E">
        <w:rPr>
          <w:i/>
          <w:color w:val="auto"/>
          <w:sz w:val="24"/>
          <w:szCs w:val="24"/>
        </w:rPr>
        <w:t>projekcie ustawy o zmianie ustawy - Prawo energetyczne i</w:t>
      </w:r>
      <w:r w:rsidR="00224669" w:rsidRPr="001C675E">
        <w:rPr>
          <w:i/>
          <w:color w:val="auto"/>
          <w:sz w:val="24"/>
          <w:szCs w:val="24"/>
        </w:rPr>
        <w:t> </w:t>
      </w:r>
      <w:r w:rsidRPr="001C675E">
        <w:rPr>
          <w:i/>
          <w:color w:val="auto"/>
          <w:sz w:val="24"/>
          <w:szCs w:val="24"/>
        </w:rPr>
        <w:t>ustawy o</w:t>
      </w:r>
      <w:r w:rsidR="00046844" w:rsidRPr="001C675E">
        <w:rPr>
          <w:i/>
          <w:color w:val="auto"/>
          <w:sz w:val="24"/>
          <w:szCs w:val="24"/>
        </w:rPr>
        <w:t xml:space="preserve"> </w:t>
      </w:r>
      <w:r w:rsidRPr="001C675E">
        <w:rPr>
          <w:i/>
          <w:color w:val="auto"/>
          <w:sz w:val="24"/>
          <w:szCs w:val="24"/>
        </w:rPr>
        <w:t>od</w:t>
      </w:r>
      <w:r w:rsidR="00E16BD9" w:rsidRPr="001C675E">
        <w:rPr>
          <w:i/>
          <w:color w:val="auto"/>
          <w:sz w:val="24"/>
          <w:szCs w:val="24"/>
        </w:rPr>
        <w:t>nawialnych źródłach energii (</w:t>
      </w:r>
      <w:r w:rsidRPr="001C675E">
        <w:rPr>
          <w:i/>
          <w:color w:val="auto"/>
          <w:sz w:val="24"/>
          <w:szCs w:val="24"/>
        </w:rPr>
        <w:t>UC74)</w:t>
      </w:r>
      <w:r w:rsidRPr="001C675E">
        <w:rPr>
          <w:color w:val="auto"/>
          <w:sz w:val="24"/>
          <w:szCs w:val="24"/>
        </w:rPr>
        <w:t xml:space="preserve"> nie oznacza, że nie wymaga on </w:t>
      </w:r>
      <w:r w:rsidR="00636422" w:rsidRPr="001C675E">
        <w:rPr>
          <w:color w:val="auto"/>
          <w:sz w:val="24"/>
          <w:szCs w:val="24"/>
        </w:rPr>
        <w:t>wdrożenia</w:t>
      </w:r>
      <w:r w:rsidR="0037125A" w:rsidRPr="001C675E">
        <w:rPr>
          <w:color w:val="auto"/>
          <w:sz w:val="24"/>
          <w:szCs w:val="24"/>
        </w:rPr>
        <w:t>, jak można wywnioskować z aktualnej tabeli zgodności</w:t>
      </w:r>
      <w:r w:rsidRPr="001C675E">
        <w:rPr>
          <w:color w:val="auto"/>
          <w:sz w:val="24"/>
          <w:szCs w:val="24"/>
        </w:rPr>
        <w:t xml:space="preserve">, ale że ma on charakter </w:t>
      </w:r>
      <w:r w:rsidR="002A1AD9" w:rsidRPr="001C675E">
        <w:rPr>
          <w:color w:val="auto"/>
          <w:sz w:val="24"/>
          <w:szCs w:val="24"/>
        </w:rPr>
        <w:t>wymagający podjęcia prac legislacyjnych</w:t>
      </w:r>
      <w:r w:rsidRPr="001C675E">
        <w:rPr>
          <w:color w:val="auto"/>
          <w:sz w:val="24"/>
          <w:szCs w:val="24"/>
        </w:rPr>
        <w:t xml:space="preserve">, jednak zostanie wdrożony innym </w:t>
      </w:r>
      <w:r w:rsidR="002A1AD9" w:rsidRPr="001C675E">
        <w:rPr>
          <w:color w:val="auto"/>
          <w:sz w:val="24"/>
          <w:szCs w:val="24"/>
        </w:rPr>
        <w:t>aktem</w:t>
      </w:r>
      <w:r w:rsidRPr="001C675E">
        <w:rPr>
          <w:color w:val="auto"/>
          <w:sz w:val="24"/>
          <w:szCs w:val="24"/>
        </w:rPr>
        <w:t>; tabel</w:t>
      </w:r>
      <w:r w:rsidR="00B046A3" w:rsidRPr="001C675E">
        <w:rPr>
          <w:color w:val="auto"/>
          <w:sz w:val="24"/>
          <w:szCs w:val="24"/>
        </w:rPr>
        <w:t>e</w:t>
      </w:r>
      <w:r w:rsidRPr="001C675E">
        <w:rPr>
          <w:color w:val="auto"/>
          <w:sz w:val="24"/>
          <w:szCs w:val="24"/>
        </w:rPr>
        <w:t xml:space="preserve"> zgodności</w:t>
      </w:r>
      <w:r w:rsidR="00B046A3" w:rsidRPr="001C675E">
        <w:rPr>
          <w:color w:val="auto"/>
          <w:sz w:val="24"/>
          <w:szCs w:val="24"/>
        </w:rPr>
        <w:t xml:space="preserve"> do każdego z ww. projektów </w:t>
      </w:r>
      <w:r w:rsidRPr="001C675E">
        <w:rPr>
          <w:color w:val="auto"/>
          <w:sz w:val="24"/>
          <w:szCs w:val="24"/>
        </w:rPr>
        <w:t>powinn</w:t>
      </w:r>
      <w:r w:rsidR="00B046A3" w:rsidRPr="001C675E">
        <w:rPr>
          <w:color w:val="auto"/>
          <w:sz w:val="24"/>
          <w:szCs w:val="24"/>
        </w:rPr>
        <w:t>y</w:t>
      </w:r>
      <w:r w:rsidR="00002D79" w:rsidRPr="001C675E">
        <w:rPr>
          <w:color w:val="auto"/>
          <w:sz w:val="24"/>
          <w:szCs w:val="24"/>
        </w:rPr>
        <w:t xml:space="preserve"> być spójne i</w:t>
      </w:r>
      <w:r w:rsidRPr="001C675E">
        <w:rPr>
          <w:color w:val="auto"/>
          <w:sz w:val="24"/>
          <w:szCs w:val="24"/>
        </w:rPr>
        <w:t xml:space="preserve"> wskazywać tę okoliczność;</w:t>
      </w:r>
    </w:p>
    <w:p w14:paraId="6A6024D8" w14:textId="66E7CE9F" w:rsidR="00E97F37" w:rsidRPr="001C675E" w:rsidRDefault="002C340A" w:rsidP="001C675E">
      <w:pPr>
        <w:pStyle w:val="Akapitzlist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jeżeli </w:t>
      </w:r>
      <w:r w:rsidR="009F4144" w:rsidRPr="001C675E">
        <w:rPr>
          <w:color w:val="auto"/>
          <w:sz w:val="24"/>
          <w:szCs w:val="24"/>
        </w:rPr>
        <w:t>fakultatywny charakter przepisu</w:t>
      </w:r>
      <w:r w:rsidR="00656141" w:rsidRPr="001C675E">
        <w:rPr>
          <w:color w:val="auto"/>
          <w:sz w:val="24"/>
          <w:szCs w:val="24"/>
        </w:rPr>
        <w:t xml:space="preserve"> dyrektywy</w:t>
      </w:r>
      <w:r w:rsidRPr="001C675E">
        <w:rPr>
          <w:color w:val="auto"/>
          <w:sz w:val="24"/>
          <w:szCs w:val="24"/>
        </w:rPr>
        <w:t xml:space="preserve"> pozostawia państwom w</w:t>
      </w:r>
      <w:r w:rsidR="00046844" w:rsidRPr="001C675E">
        <w:rPr>
          <w:color w:val="auto"/>
          <w:sz w:val="24"/>
          <w:szCs w:val="24"/>
        </w:rPr>
        <w:t xml:space="preserve">ybór, </w:t>
      </w:r>
      <w:r w:rsidR="00E97F37" w:rsidRPr="001C675E">
        <w:rPr>
          <w:color w:val="auto"/>
          <w:sz w:val="24"/>
          <w:szCs w:val="24"/>
        </w:rPr>
        <w:t>które z</w:t>
      </w:r>
      <w:r w:rsidR="00224669" w:rsidRPr="001C675E">
        <w:rPr>
          <w:color w:val="auto"/>
          <w:sz w:val="24"/>
          <w:szCs w:val="24"/>
        </w:rPr>
        <w:t> </w:t>
      </w:r>
      <w:r w:rsidR="00E97F37" w:rsidRPr="001C675E">
        <w:rPr>
          <w:color w:val="auto"/>
          <w:sz w:val="24"/>
          <w:szCs w:val="24"/>
        </w:rPr>
        <w:t>kilku dopuszczalnych rozwiązań przyjąć na poziomie krajowym,</w:t>
      </w:r>
      <w:r w:rsidRPr="001C675E">
        <w:rPr>
          <w:color w:val="auto"/>
          <w:sz w:val="24"/>
          <w:szCs w:val="24"/>
        </w:rPr>
        <w:t xml:space="preserve"> to</w:t>
      </w:r>
      <w:r w:rsidR="00E97F37" w:rsidRPr="001C675E">
        <w:rPr>
          <w:color w:val="auto"/>
          <w:sz w:val="24"/>
          <w:szCs w:val="24"/>
        </w:rPr>
        <w:t xml:space="preserve"> </w:t>
      </w:r>
      <w:r w:rsidR="00656141" w:rsidRPr="001C675E">
        <w:rPr>
          <w:color w:val="auto"/>
          <w:sz w:val="24"/>
          <w:szCs w:val="24"/>
        </w:rPr>
        <w:t xml:space="preserve">krajowe </w:t>
      </w:r>
      <w:r w:rsidR="00046844" w:rsidRPr="001C675E">
        <w:rPr>
          <w:color w:val="auto"/>
          <w:sz w:val="24"/>
          <w:szCs w:val="24"/>
        </w:rPr>
        <w:t>przepisy mają charakter wdrażający</w:t>
      </w:r>
      <w:r w:rsidR="00656141" w:rsidRPr="001C675E">
        <w:rPr>
          <w:color w:val="auto"/>
          <w:sz w:val="24"/>
          <w:szCs w:val="24"/>
        </w:rPr>
        <w:t xml:space="preserve"> i powinny znaleźć się w tabeli</w:t>
      </w:r>
      <w:r w:rsidR="0087351C" w:rsidRPr="001C675E">
        <w:rPr>
          <w:color w:val="auto"/>
          <w:sz w:val="24"/>
          <w:szCs w:val="24"/>
        </w:rPr>
        <w:t xml:space="preserve"> zgodności</w:t>
      </w:r>
      <w:r w:rsidR="00E97F37" w:rsidRPr="001C675E">
        <w:rPr>
          <w:color w:val="auto"/>
          <w:sz w:val="24"/>
          <w:szCs w:val="24"/>
        </w:rPr>
        <w:t>.</w:t>
      </w:r>
    </w:p>
    <w:p w14:paraId="05725E98" w14:textId="77777777" w:rsidR="00E97F37" w:rsidRPr="001C675E" w:rsidRDefault="00E97F37" w:rsidP="001C67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Zgodnie z § 30 ust. 2 Regulaminu pracy Rady Ministrów, projekt ustawy mającej na celu wdrożenie prawa UE może zawierać przepisy wykraczające poza ten cel wyłącznie w szczególnie uzasadnionych przypadkach. W takim przypadku organ wnioskujący dołącza do projektu dodatkowo tabelaryczne zestawienie projektowanych przepisów ustawy, które wykraczają poza cel wdrożenia prawa UE, wraz z wyjaśnieniem niezbędności objęcia ich tym projektem, zwane dalej „odwróconą tabelą zgodności”.</w:t>
      </w:r>
    </w:p>
    <w:p w14:paraId="13F6B73A" w14:textId="0FC1D598" w:rsidR="00E97F37" w:rsidRDefault="00A82753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W</w:t>
      </w:r>
      <w:r w:rsidR="00E97F37" w:rsidRPr="001C675E">
        <w:rPr>
          <w:color w:val="auto"/>
          <w:sz w:val="24"/>
          <w:szCs w:val="24"/>
        </w:rPr>
        <w:t xml:space="preserve"> przypadku zamieszczenia w projekcie przepisów, które wykraczają poza cel związany z</w:t>
      </w:r>
      <w:r w:rsidRPr="001C675E">
        <w:rPr>
          <w:color w:val="auto"/>
          <w:sz w:val="24"/>
          <w:szCs w:val="24"/>
        </w:rPr>
        <w:t> </w:t>
      </w:r>
      <w:r w:rsidR="00E97F37" w:rsidRPr="001C675E">
        <w:rPr>
          <w:color w:val="auto"/>
          <w:sz w:val="24"/>
          <w:szCs w:val="24"/>
        </w:rPr>
        <w:t>wdrożeniem dyrektywy, ale mających umocowanie w dyrektywie w ten sposób, że</w:t>
      </w:r>
      <w:r w:rsidRPr="001C675E">
        <w:rPr>
          <w:color w:val="auto"/>
          <w:sz w:val="24"/>
          <w:szCs w:val="24"/>
        </w:rPr>
        <w:t> </w:t>
      </w:r>
      <w:r w:rsidR="00E97F37" w:rsidRPr="001C675E">
        <w:rPr>
          <w:color w:val="auto"/>
          <w:sz w:val="24"/>
          <w:szCs w:val="24"/>
        </w:rPr>
        <w:t>dyrektywa pozwala na uregulowanie określonej kwestii od niej odmiennie, niezbędne jest wykazanie wprowadzanego przepisu zarówno w tabeli zgodności, obok</w:t>
      </w:r>
      <w:r w:rsidR="00224669" w:rsidRPr="001C675E">
        <w:rPr>
          <w:color w:val="auto"/>
          <w:sz w:val="24"/>
          <w:szCs w:val="24"/>
        </w:rPr>
        <w:t> </w:t>
      </w:r>
      <w:r w:rsidR="00E97F37" w:rsidRPr="001C675E">
        <w:rPr>
          <w:color w:val="auto"/>
          <w:sz w:val="24"/>
          <w:szCs w:val="24"/>
        </w:rPr>
        <w:t>przepisu pozwalającego na odmienne uregulowanie określonego zagadnienia, jak</w:t>
      </w:r>
      <w:r w:rsidR="00224669" w:rsidRPr="001C675E">
        <w:rPr>
          <w:color w:val="auto"/>
          <w:sz w:val="24"/>
          <w:szCs w:val="24"/>
        </w:rPr>
        <w:t> </w:t>
      </w:r>
      <w:r w:rsidR="00E97F37" w:rsidRPr="001C675E">
        <w:rPr>
          <w:color w:val="auto"/>
          <w:sz w:val="24"/>
          <w:szCs w:val="24"/>
        </w:rPr>
        <w:t>i w odwróconej tabeli zgodności, jako przepisu wykraczającego poza wymagania wdrażanej dyrektywy.</w:t>
      </w:r>
    </w:p>
    <w:p w14:paraId="1A2BD122" w14:textId="3269FD0A" w:rsidR="00CD0404" w:rsidRDefault="00CD0404" w:rsidP="00B94836">
      <w:pPr>
        <w:pStyle w:val="Akapitzlist"/>
        <w:numPr>
          <w:ilvl w:val="0"/>
          <w:numId w:val="5"/>
        </w:numPr>
        <w:spacing w:after="120" w:line="240" w:lineRule="auto"/>
        <w:ind w:left="567" w:hanging="567"/>
        <w:jc w:val="both"/>
        <w:rPr>
          <w:color w:val="auto"/>
          <w:sz w:val="24"/>
          <w:szCs w:val="24"/>
        </w:rPr>
      </w:pPr>
      <w:r w:rsidRPr="00CD0404">
        <w:rPr>
          <w:color w:val="auto"/>
          <w:sz w:val="24"/>
          <w:szCs w:val="24"/>
        </w:rPr>
        <w:t xml:space="preserve">Zgodnie z odnośnikiem nr 2 do projektu, projektowana ustawa w zakresie swojej regulacji wdraża </w:t>
      </w:r>
      <w:r w:rsidRPr="00CD0404">
        <w:rPr>
          <w:i/>
          <w:color w:val="auto"/>
          <w:sz w:val="24"/>
          <w:szCs w:val="24"/>
        </w:rPr>
        <w:t>dyrektywę Parlamentu Europejskiego i Rady (UE) 2018/2001 z dnia 11 grudnia 2018 r. w sprawie promowania stosowania energii ze źródeł odnawialnych (Dz. U. L 328 z 21.12.2018, str. 82—209)</w:t>
      </w:r>
      <w:r w:rsidRPr="00CD0404">
        <w:rPr>
          <w:color w:val="auto"/>
          <w:sz w:val="24"/>
          <w:szCs w:val="24"/>
        </w:rPr>
        <w:t xml:space="preserve">. Projekt nie przewiduje natomiast zmiany dotychczasowego odnośnika zawartego w nowelizowanej </w:t>
      </w:r>
      <w:r w:rsidRPr="00CD0404">
        <w:rPr>
          <w:i/>
          <w:color w:val="auto"/>
          <w:sz w:val="24"/>
          <w:szCs w:val="24"/>
        </w:rPr>
        <w:t xml:space="preserve">ustawie </w:t>
      </w:r>
      <w:r w:rsidRPr="00CD0404">
        <w:rPr>
          <w:bCs/>
          <w:i/>
          <w:color w:val="auto"/>
          <w:sz w:val="24"/>
          <w:szCs w:val="24"/>
          <w:shd w:val="clear" w:color="auto" w:fill="FFFFFF"/>
        </w:rPr>
        <w:t xml:space="preserve">z dnia 20 lutego 2015 r. o odnawialnych źródłach energii (tj. Dz. U. z 2021 r. poz. 610 z </w:t>
      </w:r>
      <w:proofErr w:type="spellStart"/>
      <w:r w:rsidRPr="00CD0404">
        <w:rPr>
          <w:bCs/>
          <w:i/>
          <w:color w:val="auto"/>
          <w:sz w:val="24"/>
          <w:szCs w:val="24"/>
          <w:shd w:val="clear" w:color="auto" w:fill="FFFFFF"/>
        </w:rPr>
        <w:t>późn</w:t>
      </w:r>
      <w:proofErr w:type="spellEnd"/>
      <w:r w:rsidRPr="00CD0404">
        <w:rPr>
          <w:bCs/>
          <w:i/>
          <w:color w:val="auto"/>
          <w:sz w:val="24"/>
          <w:szCs w:val="24"/>
          <w:shd w:val="clear" w:color="auto" w:fill="FFFFFF"/>
        </w:rPr>
        <w:t>. zm.)</w:t>
      </w:r>
      <w:r w:rsidRPr="00CD0404">
        <w:rPr>
          <w:bCs/>
          <w:color w:val="auto"/>
          <w:sz w:val="24"/>
          <w:szCs w:val="24"/>
          <w:shd w:val="clear" w:color="auto" w:fill="FFFFFF"/>
        </w:rPr>
        <w:t>, dalej „ustawa OZE”)</w:t>
      </w:r>
      <w:r w:rsidRPr="00CD0404">
        <w:rPr>
          <w:color w:val="auto"/>
          <w:sz w:val="24"/>
          <w:szCs w:val="24"/>
        </w:rPr>
        <w:t>, który wskazuje, że ustawa ta wdraża dyrektywę 2009/28/WE. W związku z uchyleniem dyrektywy 2009/28/WE dotychczasowe odesłanie do tej dyrektywy zawarte w ustawie OZE należy usunąć i dodać odesłanie do dyrektywy 2018/2001.</w:t>
      </w:r>
    </w:p>
    <w:p w14:paraId="271D3A02" w14:textId="77777777" w:rsidR="00B94836" w:rsidRPr="00B94836" w:rsidRDefault="00B94836" w:rsidP="00B94836">
      <w:pPr>
        <w:pStyle w:val="Akapitzlist"/>
        <w:spacing w:after="120" w:line="240" w:lineRule="auto"/>
        <w:ind w:left="567"/>
        <w:jc w:val="both"/>
        <w:rPr>
          <w:color w:val="auto"/>
          <w:sz w:val="24"/>
          <w:szCs w:val="24"/>
        </w:rPr>
      </w:pPr>
    </w:p>
    <w:p w14:paraId="7ADFE29D" w14:textId="77777777" w:rsidR="003C0789" w:rsidRPr="001C675E" w:rsidRDefault="00987282" w:rsidP="001C675E">
      <w:pPr>
        <w:spacing w:after="120" w:line="240" w:lineRule="auto"/>
        <w:ind w:left="567" w:hanging="567"/>
        <w:jc w:val="both"/>
        <w:rPr>
          <w:b/>
          <w:color w:val="auto"/>
          <w:sz w:val="24"/>
          <w:szCs w:val="24"/>
        </w:rPr>
      </w:pPr>
      <w:bookmarkStart w:id="7" w:name="mip36467846"/>
      <w:bookmarkEnd w:id="7"/>
      <w:r w:rsidRPr="001C675E">
        <w:rPr>
          <w:b/>
          <w:color w:val="auto"/>
          <w:sz w:val="24"/>
          <w:szCs w:val="24"/>
        </w:rPr>
        <w:t>II.</w:t>
      </w:r>
      <w:r w:rsidRPr="001C675E">
        <w:rPr>
          <w:b/>
          <w:color w:val="auto"/>
          <w:sz w:val="24"/>
          <w:szCs w:val="24"/>
        </w:rPr>
        <w:tab/>
      </w:r>
      <w:r w:rsidR="003C0789" w:rsidRPr="001C675E">
        <w:rPr>
          <w:b/>
          <w:color w:val="auto"/>
          <w:sz w:val="24"/>
          <w:szCs w:val="24"/>
        </w:rPr>
        <w:t xml:space="preserve">Uwagi </w:t>
      </w:r>
      <w:r w:rsidR="00CE70E1" w:rsidRPr="001C675E">
        <w:rPr>
          <w:b/>
          <w:color w:val="auto"/>
          <w:sz w:val="24"/>
          <w:szCs w:val="24"/>
        </w:rPr>
        <w:t>szczegółowe</w:t>
      </w:r>
      <w:r w:rsidR="00337E3E" w:rsidRPr="001C675E">
        <w:rPr>
          <w:b/>
          <w:color w:val="auto"/>
          <w:sz w:val="24"/>
          <w:szCs w:val="24"/>
        </w:rPr>
        <w:t xml:space="preserve"> dotyczące zawartych w projekcie rozwiązań</w:t>
      </w:r>
    </w:p>
    <w:p w14:paraId="7AD1B197" w14:textId="3A840BB7" w:rsidR="00AD2503" w:rsidRPr="001C675E" w:rsidRDefault="00AD2503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bookmarkStart w:id="8" w:name="mip54350996"/>
      <w:bookmarkStart w:id="9" w:name="mip54350997"/>
      <w:bookmarkStart w:id="10" w:name="mip54350998"/>
      <w:bookmarkStart w:id="11" w:name="mip54350999"/>
      <w:bookmarkEnd w:id="8"/>
      <w:bookmarkEnd w:id="9"/>
      <w:bookmarkEnd w:id="10"/>
      <w:bookmarkEnd w:id="11"/>
      <w:r w:rsidRPr="001C675E">
        <w:rPr>
          <w:b/>
          <w:color w:val="auto"/>
          <w:sz w:val="24"/>
          <w:szCs w:val="24"/>
        </w:rPr>
        <w:t xml:space="preserve">Art. 1 pkt </w:t>
      </w:r>
      <w:r w:rsidR="00323928" w:rsidRPr="001C675E">
        <w:rPr>
          <w:b/>
          <w:color w:val="auto"/>
          <w:sz w:val="24"/>
          <w:szCs w:val="24"/>
        </w:rPr>
        <w:t>2 lit</w:t>
      </w:r>
      <w:r w:rsidR="00564B19">
        <w:rPr>
          <w:b/>
          <w:color w:val="auto"/>
          <w:sz w:val="24"/>
          <w:szCs w:val="24"/>
        </w:rPr>
        <w:t>.</w:t>
      </w:r>
      <w:r w:rsidR="00323928" w:rsidRPr="001C675E">
        <w:rPr>
          <w:b/>
          <w:color w:val="auto"/>
          <w:sz w:val="24"/>
          <w:szCs w:val="24"/>
        </w:rPr>
        <w:t xml:space="preserve"> p) </w:t>
      </w:r>
      <w:r w:rsidRPr="001C675E">
        <w:rPr>
          <w:b/>
          <w:color w:val="auto"/>
          <w:sz w:val="24"/>
          <w:szCs w:val="24"/>
        </w:rPr>
        <w:t>projektu</w:t>
      </w:r>
    </w:p>
    <w:p w14:paraId="70D28435" w14:textId="352DE811" w:rsidR="00EF3052" w:rsidRPr="001C675E" w:rsidRDefault="00323928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Przepis ten ma na celu wdrożenie do prawa polskiego art. 2 pkt 18 dyrektywy 2018/2001 zawierającego definicję partnerskiego (</w:t>
      </w:r>
      <w:proofErr w:type="spellStart"/>
      <w:r w:rsidRPr="001C675E">
        <w:rPr>
          <w:color w:val="auto"/>
          <w:sz w:val="24"/>
          <w:szCs w:val="24"/>
        </w:rPr>
        <w:t>peer</w:t>
      </w:r>
      <w:proofErr w:type="spellEnd"/>
      <w:r w:rsidRPr="001C675E">
        <w:rPr>
          <w:color w:val="auto"/>
          <w:sz w:val="24"/>
          <w:szCs w:val="24"/>
        </w:rPr>
        <w:t>-to-</w:t>
      </w:r>
      <w:proofErr w:type="spellStart"/>
      <w:r w:rsidRPr="001C675E">
        <w:rPr>
          <w:color w:val="auto"/>
          <w:sz w:val="24"/>
          <w:szCs w:val="24"/>
        </w:rPr>
        <w:t>peer</w:t>
      </w:r>
      <w:proofErr w:type="spellEnd"/>
      <w:r w:rsidRPr="001C675E">
        <w:rPr>
          <w:color w:val="auto"/>
          <w:sz w:val="24"/>
          <w:szCs w:val="24"/>
        </w:rPr>
        <w:t>) handlu energią odnawialną. Zgodnie z projektowanym przepisem partnerski handel energią z odnawialnych źródeł energii może być prowadzony wyłącznie między uczestnikami rynku, „</w:t>
      </w:r>
      <w:r w:rsidRPr="001A48AA">
        <w:rPr>
          <w:i/>
          <w:color w:val="auto"/>
          <w:sz w:val="24"/>
          <w:szCs w:val="24"/>
        </w:rPr>
        <w:t>spośród których wytwarzającym tę energię jest prosument energii odnawialnej lub prosument zbiorowy energii odnawialnej</w:t>
      </w:r>
      <w:r w:rsidRPr="001A48AA">
        <w:rPr>
          <w:color w:val="auto"/>
          <w:sz w:val="24"/>
          <w:szCs w:val="24"/>
        </w:rPr>
        <w:t>”</w:t>
      </w:r>
      <w:r w:rsidRPr="001C675E">
        <w:rPr>
          <w:color w:val="auto"/>
          <w:sz w:val="24"/>
          <w:szCs w:val="24"/>
        </w:rPr>
        <w:t xml:space="preserve">. Powyższe zastrzeżenie modyfikuje definicję zawartą w art. 2 pkt </w:t>
      </w:r>
      <w:r w:rsidRPr="001C675E">
        <w:rPr>
          <w:color w:val="auto"/>
          <w:sz w:val="24"/>
          <w:szCs w:val="24"/>
        </w:rPr>
        <w:lastRenderedPageBreak/>
        <w:t xml:space="preserve">18 dyrektywy 2018/2001, </w:t>
      </w:r>
      <w:r w:rsidR="00FA7913" w:rsidRPr="001C675E">
        <w:rPr>
          <w:color w:val="auto"/>
          <w:sz w:val="24"/>
          <w:szCs w:val="24"/>
        </w:rPr>
        <w:t>która takiego zastrzeżenia nie zawiera</w:t>
      </w:r>
      <w:r w:rsidR="005E704D">
        <w:rPr>
          <w:color w:val="auto"/>
          <w:sz w:val="24"/>
          <w:szCs w:val="24"/>
        </w:rPr>
        <w:t>, co skutkuje koniecznością</w:t>
      </w:r>
      <w:r w:rsidR="00B94836">
        <w:rPr>
          <w:color w:val="auto"/>
          <w:sz w:val="24"/>
          <w:szCs w:val="24"/>
        </w:rPr>
        <w:t xml:space="preserve"> poprawienia</w:t>
      </w:r>
      <w:r w:rsidR="005E704D">
        <w:rPr>
          <w:color w:val="auto"/>
          <w:sz w:val="24"/>
          <w:szCs w:val="24"/>
        </w:rPr>
        <w:t xml:space="preserve"> art. 1 pkt 2 lit. p) projektu</w:t>
      </w:r>
      <w:r w:rsidR="00FA7913" w:rsidRPr="001C675E">
        <w:rPr>
          <w:color w:val="auto"/>
          <w:sz w:val="24"/>
          <w:szCs w:val="24"/>
        </w:rPr>
        <w:t>.</w:t>
      </w:r>
    </w:p>
    <w:p w14:paraId="0DE42B06" w14:textId="34F81D45" w:rsidR="001F77F9" w:rsidRPr="001C675E" w:rsidRDefault="00ED1C93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 xml:space="preserve">Art. 1 pkt </w:t>
      </w:r>
      <w:r w:rsidR="00A604A0" w:rsidRPr="001C675E">
        <w:rPr>
          <w:b/>
          <w:color w:val="auto"/>
          <w:sz w:val="24"/>
          <w:szCs w:val="24"/>
        </w:rPr>
        <w:t xml:space="preserve">30 </w:t>
      </w:r>
      <w:r w:rsidR="001F77F9" w:rsidRPr="001C675E">
        <w:rPr>
          <w:b/>
          <w:color w:val="auto"/>
          <w:sz w:val="24"/>
          <w:szCs w:val="24"/>
        </w:rPr>
        <w:t>projektu</w:t>
      </w:r>
    </w:p>
    <w:p w14:paraId="444A2B5C" w14:textId="77777777" w:rsidR="00E9002F" w:rsidRPr="001C675E" w:rsidRDefault="00A604A0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Zgodnie z projektowanym art. 38ad</w:t>
      </w:r>
      <w:r w:rsidR="00342C24" w:rsidRPr="001C675E">
        <w:rPr>
          <w:color w:val="auto"/>
          <w:sz w:val="24"/>
          <w:szCs w:val="24"/>
        </w:rPr>
        <w:t xml:space="preserve"> ustawy OZE</w:t>
      </w:r>
      <w:r w:rsidRPr="001C675E">
        <w:rPr>
          <w:color w:val="auto"/>
          <w:sz w:val="24"/>
          <w:szCs w:val="24"/>
        </w:rPr>
        <w:t xml:space="preserve"> </w:t>
      </w:r>
      <w:r w:rsidR="00342C24" w:rsidRPr="001C675E">
        <w:rPr>
          <w:color w:val="auto"/>
          <w:sz w:val="24"/>
          <w:szCs w:val="24"/>
        </w:rPr>
        <w:t>koordynator klastra energii, który jest wpisany do rejestru klastrów energii, sporządza roczne sprawozdanie (ust. 1) i przekazuje je Prezesowi URE do 30 czerwca roku następującego po roku, którego to sprawozdanie dotyczy</w:t>
      </w:r>
      <w:r w:rsidR="00E9002F" w:rsidRPr="001C675E">
        <w:rPr>
          <w:color w:val="auto"/>
          <w:sz w:val="24"/>
          <w:szCs w:val="24"/>
        </w:rPr>
        <w:t xml:space="preserve"> (ust. 2)</w:t>
      </w:r>
      <w:r w:rsidR="00342C24" w:rsidRPr="001C675E">
        <w:rPr>
          <w:color w:val="auto"/>
          <w:sz w:val="24"/>
          <w:szCs w:val="24"/>
        </w:rPr>
        <w:t xml:space="preserve">. Jeżeli koordynator klastra energii nie przekaże tego sprawozdania Prezesowi URE </w:t>
      </w:r>
      <w:r w:rsidR="00E9002F" w:rsidRPr="001C675E">
        <w:rPr>
          <w:color w:val="auto"/>
          <w:sz w:val="24"/>
          <w:szCs w:val="24"/>
        </w:rPr>
        <w:t>do 30 czerwca roku następującego po roku, którego to sprawozdanie dotyczy</w:t>
      </w:r>
      <w:r w:rsidR="00342C24" w:rsidRPr="001C675E">
        <w:rPr>
          <w:color w:val="auto"/>
          <w:sz w:val="24"/>
          <w:szCs w:val="24"/>
        </w:rPr>
        <w:t>, Prezes URE w drodze decyzji, wykreśla klaster z rejestrów klastrów energii (ust. 3).</w:t>
      </w:r>
    </w:p>
    <w:p w14:paraId="5750DB9D" w14:textId="7E2B3D0A" w:rsidR="00904325" w:rsidRPr="001C675E" w:rsidRDefault="001A48AA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Projektowany </w:t>
      </w:r>
      <w:r w:rsidRPr="001A48AA">
        <w:rPr>
          <w:color w:val="auto"/>
          <w:sz w:val="24"/>
          <w:szCs w:val="24"/>
        </w:rPr>
        <w:t xml:space="preserve">art. 38ad </w:t>
      </w:r>
      <w:r>
        <w:rPr>
          <w:color w:val="auto"/>
          <w:sz w:val="24"/>
          <w:szCs w:val="24"/>
        </w:rPr>
        <w:t xml:space="preserve">ust. 3 </w:t>
      </w:r>
      <w:r w:rsidRPr="001A48AA">
        <w:rPr>
          <w:color w:val="auto"/>
          <w:sz w:val="24"/>
          <w:szCs w:val="24"/>
        </w:rPr>
        <w:t xml:space="preserve">ustawy OZE </w:t>
      </w:r>
      <w:r w:rsidR="00904325" w:rsidRPr="001C675E">
        <w:rPr>
          <w:color w:val="auto"/>
          <w:sz w:val="24"/>
          <w:szCs w:val="24"/>
        </w:rPr>
        <w:t>może zostać uznany za naruszający</w:t>
      </w:r>
      <w:r w:rsidR="00E9002F" w:rsidRPr="001C675E">
        <w:rPr>
          <w:color w:val="auto"/>
          <w:sz w:val="24"/>
          <w:szCs w:val="24"/>
        </w:rPr>
        <w:t xml:space="preserve"> zasadę proporcjonalności</w:t>
      </w:r>
      <w:r w:rsidR="00904325" w:rsidRPr="001C675E">
        <w:rPr>
          <w:color w:val="auto"/>
          <w:sz w:val="24"/>
          <w:szCs w:val="24"/>
        </w:rPr>
        <w:t>. W</w:t>
      </w:r>
      <w:r w:rsidR="00E9002F" w:rsidRPr="001C675E">
        <w:rPr>
          <w:color w:val="auto"/>
          <w:sz w:val="24"/>
          <w:szCs w:val="24"/>
        </w:rPr>
        <w:t>prowadza</w:t>
      </w:r>
      <w:r w:rsidR="00904325" w:rsidRPr="001C675E">
        <w:rPr>
          <w:color w:val="auto"/>
          <w:sz w:val="24"/>
          <w:szCs w:val="24"/>
        </w:rPr>
        <w:t xml:space="preserve"> bowiem</w:t>
      </w:r>
      <w:r w:rsidR="00E9002F" w:rsidRPr="001C675E">
        <w:rPr>
          <w:color w:val="auto"/>
          <w:sz w:val="24"/>
          <w:szCs w:val="24"/>
        </w:rPr>
        <w:t xml:space="preserve"> sankcję wykreślenia z rejestru klastrów energii, w sytuacji gdy</w:t>
      </w:r>
      <w:r w:rsidR="00224669" w:rsidRPr="001C675E">
        <w:rPr>
          <w:color w:val="auto"/>
          <w:sz w:val="24"/>
          <w:szCs w:val="24"/>
        </w:rPr>
        <w:t> </w:t>
      </w:r>
      <w:r w:rsidR="00E9002F" w:rsidRPr="001C675E">
        <w:rPr>
          <w:color w:val="auto"/>
          <w:sz w:val="24"/>
          <w:szCs w:val="24"/>
        </w:rPr>
        <w:t>dostępne są inne, mniej dolegliwe środki</w:t>
      </w:r>
      <w:r w:rsidR="00904325" w:rsidRPr="001C675E">
        <w:rPr>
          <w:color w:val="auto"/>
          <w:sz w:val="24"/>
          <w:szCs w:val="24"/>
        </w:rPr>
        <w:t xml:space="preserve">, jak np. </w:t>
      </w:r>
      <w:r w:rsidR="00E9002F" w:rsidRPr="001C675E">
        <w:rPr>
          <w:color w:val="auto"/>
          <w:sz w:val="24"/>
          <w:szCs w:val="24"/>
        </w:rPr>
        <w:t>wezwanie koordynatora klastr</w:t>
      </w:r>
      <w:r w:rsidR="00904325" w:rsidRPr="001C675E">
        <w:rPr>
          <w:color w:val="auto"/>
          <w:sz w:val="24"/>
          <w:szCs w:val="24"/>
        </w:rPr>
        <w:t>a</w:t>
      </w:r>
      <w:r w:rsidR="00E9002F" w:rsidRPr="001C675E">
        <w:rPr>
          <w:color w:val="auto"/>
          <w:sz w:val="24"/>
          <w:szCs w:val="24"/>
        </w:rPr>
        <w:t xml:space="preserve"> energii do złożenia </w:t>
      </w:r>
      <w:r w:rsidR="00904325" w:rsidRPr="001C675E">
        <w:rPr>
          <w:color w:val="auto"/>
          <w:sz w:val="24"/>
          <w:szCs w:val="24"/>
        </w:rPr>
        <w:t>sprawozdania w wyznaczonym terminie pod rygorem wykreślenia z</w:t>
      </w:r>
      <w:r w:rsidR="00224669" w:rsidRPr="001C675E">
        <w:rPr>
          <w:color w:val="auto"/>
          <w:sz w:val="24"/>
          <w:szCs w:val="24"/>
        </w:rPr>
        <w:t> </w:t>
      </w:r>
      <w:r w:rsidR="00904325" w:rsidRPr="001C675E">
        <w:rPr>
          <w:color w:val="auto"/>
          <w:sz w:val="24"/>
          <w:szCs w:val="24"/>
        </w:rPr>
        <w:t>rejestru.</w:t>
      </w:r>
    </w:p>
    <w:p w14:paraId="1D528970" w14:textId="5EE85A6F" w:rsidR="00904325" w:rsidRPr="001C675E" w:rsidRDefault="00904325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przepis</w:t>
      </w:r>
      <w:r w:rsidR="00BE36AE" w:rsidRPr="00BE36AE">
        <w:t xml:space="preserve"> </w:t>
      </w:r>
      <w:r w:rsidR="00BE36AE" w:rsidRPr="00BE36AE">
        <w:rPr>
          <w:color w:val="auto"/>
          <w:sz w:val="24"/>
          <w:szCs w:val="24"/>
        </w:rPr>
        <w:t>art. 38ad ust. 3 ustawy OZE</w:t>
      </w:r>
      <w:r w:rsidRPr="001C675E">
        <w:rPr>
          <w:color w:val="auto"/>
          <w:sz w:val="24"/>
          <w:szCs w:val="24"/>
        </w:rPr>
        <w:t xml:space="preserve"> jest ponadto niespójny z ust. 4 i 5 </w:t>
      </w:r>
      <w:r w:rsidR="00E573D4">
        <w:rPr>
          <w:color w:val="auto"/>
          <w:sz w:val="24"/>
          <w:szCs w:val="24"/>
        </w:rPr>
        <w:t>tego przepisu</w:t>
      </w:r>
      <w:r w:rsidRPr="001C675E">
        <w:rPr>
          <w:color w:val="auto"/>
          <w:sz w:val="24"/>
          <w:szCs w:val="24"/>
        </w:rPr>
        <w:t xml:space="preserve">. Jeżeli bowiem koordynator klastra energii złoży do 30 czerwca roku następującego po roku, którego to sprawozdanie dotyczy, sprawozdanie niepełne, wówczas Prezes URE musi wezwać koordynatora klastra energii o uzupełnienie sprawozdania w terminie 14 dni. </w:t>
      </w:r>
      <w:r w:rsidR="00DF0868" w:rsidRPr="001C675E">
        <w:rPr>
          <w:color w:val="auto"/>
          <w:sz w:val="24"/>
          <w:szCs w:val="24"/>
        </w:rPr>
        <w:t xml:space="preserve">Prezes URE musi skierować takie wezwanie niezależnie od tego, że pojęcie „sprawozdanie niepełne” jest pojęciem nieostrym. Może ono oznaczać brak w sprawozdaniu tylko jednej informacji, ale w skrajnym przypadku może oznaczać przekazanie pustego formularza sprawozdania. </w:t>
      </w:r>
      <w:r w:rsidR="00E26C27" w:rsidRPr="001C675E">
        <w:rPr>
          <w:color w:val="auto"/>
          <w:sz w:val="24"/>
          <w:szCs w:val="24"/>
        </w:rPr>
        <w:t>Projektowany przepis niezależnie od tego, że może zostać uznany za nieproporcjonalny, może zatem okazać się przepisem martwym.</w:t>
      </w:r>
    </w:p>
    <w:p w14:paraId="676057CB" w14:textId="6DF3A33B" w:rsidR="00ED1C93" w:rsidRPr="001C675E" w:rsidRDefault="001F77F9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 xml:space="preserve">Art. 1 pkt </w:t>
      </w:r>
      <w:r w:rsidR="00E26C27" w:rsidRPr="001C675E">
        <w:rPr>
          <w:b/>
          <w:color w:val="auto"/>
          <w:sz w:val="24"/>
          <w:szCs w:val="24"/>
        </w:rPr>
        <w:t>59 lit</w:t>
      </w:r>
      <w:r w:rsidR="00E573D4">
        <w:rPr>
          <w:b/>
          <w:color w:val="auto"/>
          <w:sz w:val="24"/>
          <w:szCs w:val="24"/>
        </w:rPr>
        <w:t>.</w:t>
      </w:r>
      <w:r w:rsidR="00E26C27" w:rsidRPr="001C675E">
        <w:rPr>
          <w:b/>
          <w:color w:val="auto"/>
          <w:sz w:val="24"/>
          <w:szCs w:val="24"/>
        </w:rPr>
        <w:t xml:space="preserve"> b) </w:t>
      </w:r>
      <w:proofErr w:type="spellStart"/>
      <w:r w:rsidR="00E26C27" w:rsidRPr="001C675E">
        <w:rPr>
          <w:b/>
          <w:color w:val="auto"/>
          <w:sz w:val="24"/>
          <w:szCs w:val="24"/>
        </w:rPr>
        <w:t>tiret</w:t>
      </w:r>
      <w:proofErr w:type="spellEnd"/>
      <w:r w:rsidR="00E26C27" w:rsidRPr="001C675E">
        <w:rPr>
          <w:b/>
          <w:color w:val="auto"/>
          <w:sz w:val="24"/>
          <w:szCs w:val="24"/>
        </w:rPr>
        <w:t xml:space="preserve"> drugie </w:t>
      </w:r>
      <w:r w:rsidR="00ED1C93" w:rsidRPr="001C675E">
        <w:rPr>
          <w:b/>
          <w:color w:val="auto"/>
          <w:sz w:val="24"/>
          <w:szCs w:val="24"/>
        </w:rPr>
        <w:t>projektu</w:t>
      </w:r>
    </w:p>
    <w:p w14:paraId="27FFDD7A" w14:textId="090B2BD1" w:rsidR="00E26C27" w:rsidRPr="001C675E" w:rsidRDefault="00DB1D77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</w:t>
      </w:r>
      <w:r w:rsidR="00E26C27" w:rsidRPr="001C675E">
        <w:rPr>
          <w:color w:val="auto"/>
          <w:sz w:val="24"/>
          <w:szCs w:val="24"/>
        </w:rPr>
        <w:t>roje</w:t>
      </w:r>
      <w:r w:rsidR="002A3FFC">
        <w:rPr>
          <w:color w:val="auto"/>
          <w:sz w:val="24"/>
          <w:szCs w:val="24"/>
        </w:rPr>
        <w:t>ktowany przepis został wskazany</w:t>
      </w:r>
      <w:r w:rsidR="00E26C27" w:rsidRPr="001C675E">
        <w:rPr>
          <w:color w:val="auto"/>
          <w:sz w:val="24"/>
          <w:szCs w:val="24"/>
        </w:rPr>
        <w:t xml:space="preserve"> jako wdrażający do prawa polskiego art. 2 pkt 10 dyrektywy 2018/2001, zawierając</w:t>
      </w:r>
      <w:r w:rsidR="00F94B64" w:rsidRPr="001C675E">
        <w:rPr>
          <w:color w:val="auto"/>
          <w:sz w:val="24"/>
          <w:szCs w:val="24"/>
        </w:rPr>
        <w:t>y</w:t>
      </w:r>
      <w:r w:rsidR="00E26C27" w:rsidRPr="001C675E">
        <w:rPr>
          <w:color w:val="auto"/>
          <w:sz w:val="24"/>
          <w:szCs w:val="24"/>
        </w:rPr>
        <w:t xml:space="preserve"> definicję „rozbudowa źródła energii”. Nowelizowany </w:t>
      </w:r>
      <w:r w:rsidR="00F94B64" w:rsidRPr="001C675E">
        <w:rPr>
          <w:color w:val="auto"/>
          <w:sz w:val="24"/>
          <w:szCs w:val="24"/>
        </w:rPr>
        <w:t xml:space="preserve">w tym celu art. 74 ust. 4 pkt 2 ustawy OZE </w:t>
      </w:r>
      <w:r w:rsidR="00E26C27" w:rsidRPr="001C675E">
        <w:rPr>
          <w:color w:val="auto"/>
          <w:sz w:val="24"/>
          <w:szCs w:val="24"/>
        </w:rPr>
        <w:t>nie jest jednak przepisem definicyjnym, ale przepisem, który odnosi się do udzielania pomocy państwa w drodze aukcyjnej sprzedaży energii elektrycznej z OZE.</w:t>
      </w:r>
      <w:r w:rsidR="00F94B64" w:rsidRPr="001C675E">
        <w:rPr>
          <w:color w:val="auto"/>
          <w:sz w:val="24"/>
          <w:szCs w:val="24"/>
        </w:rPr>
        <w:t xml:space="preserve"> </w:t>
      </w:r>
      <w:r w:rsidR="00E26C27" w:rsidRPr="001C675E">
        <w:rPr>
          <w:color w:val="auto"/>
          <w:sz w:val="24"/>
          <w:szCs w:val="24"/>
        </w:rPr>
        <w:t xml:space="preserve">Poza tym, </w:t>
      </w:r>
      <w:r w:rsidR="00F94B64" w:rsidRPr="001C675E">
        <w:rPr>
          <w:color w:val="auto"/>
          <w:sz w:val="24"/>
          <w:szCs w:val="24"/>
        </w:rPr>
        <w:t xml:space="preserve">projektowany </w:t>
      </w:r>
      <w:r w:rsidR="00E26C27" w:rsidRPr="001C675E">
        <w:rPr>
          <w:color w:val="auto"/>
          <w:sz w:val="24"/>
          <w:szCs w:val="24"/>
        </w:rPr>
        <w:t xml:space="preserve">przepis wprowadza określone wielkości procentowe, których definicja wskazana w dyrektywie </w:t>
      </w:r>
      <w:r w:rsidR="00F94B64" w:rsidRPr="001C675E">
        <w:rPr>
          <w:color w:val="auto"/>
          <w:sz w:val="24"/>
          <w:szCs w:val="24"/>
        </w:rPr>
        <w:t xml:space="preserve">2018/2001 </w:t>
      </w:r>
      <w:r w:rsidR="00E26C27" w:rsidRPr="001C675E">
        <w:rPr>
          <w:color w:val="auto"/>
          <w:sz w:val="24"/>
          <w:szCs w:val="24"/>
        </w:rPr>
        <w:t>nie przewiduje.</w:t>
      </w:r>
      <w:r w:rsidR="00F94B64" w:rsidRPr="001C675E">
        <w:rPr>
          <w:color w:val="auto"/>
          <w:sz w:val="24"/>
          <w:szCs w:val="24"/>
        </w:rPr>
        <w:t xml:space="preserve"> Jeżeli zatem, zgodnie z informacją wskazaną w tabeli zgodności, przepis ten ma na celu wdrożenie definicji „rozbudowa źródła energii”, to przepis ten wdraża ją błędnie.</w:t>
      </w:r>
    </w:p>
    <w:p w14:paraId="18C96304" w14:textId="56B791BA" w:rsidR="00054B2B" w:rsidRPr="001C675E" w:rsidRDefault="00054B2B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1 pkt 74 lit. c</w:t>
      </w:r>
      <w:r w:rsidR="0038438B" w:rsidRPr="001C675E">
        <w:rPr>
          <w:b/>
          <w:color w:val="auto"/>
          <w:sz w:val="24"/>
          <w:szCs w:val="24"/>
        </w:rPr>
        <w:t>) i d)</w:t>
      </w:r>
      <w:r w:rsidRPr="001C675E">
        <w:rPr>
          <w:b/>
          <w:color w:val="auto"/>
          <w:sz w:val="24"/>
          <w:szCs w:val="24"/>
        </w:rPr>
        <w:t xml:space="preserve"> </w:t>
      </w:r>
      <w:r w:rsidR="00F770DE" w:rsidRPr="001C675E">
        <w:rPr>
          <w:b/>
          <w:color w:val="auto"/>
          <w:sz w:val="24"/>
          <w:szCs w:val="24"/>
        </w:rPr>
        <w:t>i art. 4 pkt 8 projektu</w:t>
      </w:r>
    </w:p>
    <w:p w14:paraId="35093CFB" w14:textId="67B5C693" w:rsidR="00C76B1C" w:rsidRPr="001C675E" w:rsidRDefault="00054B2B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przepis</w:t>
      </w:r>
      <w:r w:rsidR="00C76B1C" w:rsidRPr="001C675E">
        <w:rPr>
          <w:color w:val="auto"/>
          <w:sz w:val="24"/>
          <w:szCs w:val="24"/>
        </w:rPr>
        <w:t xml:space="preserve">, nowelizujący art. 116 ust. 2 </w:t>
      </w:r>
      <w:r w:rsidR="00F770DE" w:rsidRPr="001C675E">
        <w:rPr>
          <w:color w:val="auto"/>
          <w:sz w:val="24"/>
          <w:szCs w:val="24"/>
        </w:rPr>
        <w:t xml:space="preserve">ustawy OZE </w:t>
      </w:r>
      <w:r w:rsidR="0038438B" w:rsidRPr="001C675E">
        <w:rPr>
          <w:color w:val="auto"/>
          <w:sz w:val="24"/>
          <w:szCs w:val="24"/>
        </w:rPr>
        <w:t xml:space="preserve">oraz dodający </w:t>
      </w:r>
      <w:r w:rsidR="00F770DE" w:rsidRPr="001C675E">
        <w:rPr>
          <w:color w:val="auto"/>
          <w:sz w:val="24"/>
          <w:szCs w:val="24"/>
        </w:rPr>
        <w:t xml:space="preserve">do tego przepisu </w:t>
      </w:r>
      <w:r w:rsidR="0038438B" w:rsidRPr="001C675E">
        <w:rPr>
          <w:color w:val="auto"/>
          <w:sz w:val="24"/>
          <w:szCs w:val="24"/>
        </w:rPr>
        <w:t>ust. 2a</w:t>
      </w:r>
      <w:r w:rsidR="00C76B1C" w:rsidRPr="001C675E">
        <w:rPr>
          <w:color w:val="auto"/>
          <w:sz w:val="24"/>
          <w:szCs w:val="24"/>
        </w:rPr>
        <w:t>,</w:t>
      </w:r>
      <w:r w:rsidRPr="001C675E">
        <w:rPr>
          <w:color w:val="auto"/>
          <w:sz w:val="24"/>
          <w:szCs w:val="24"/>
        </w:rPr>
        <w:t xml:space="preserve"> został wskazany jako wdrażający do prawa polskiego art. 2</w:t>
      </w:r>
      <w:r w:rsidR="00C76B1C" w:rsidRPr="001C675E">
        <w:rPr>
          <w:color w:val="auto"/>
          <w:sz w:val="24"/>
          <w:szCs w:val="24"/>
        </w:rPr>
        <w:t>3 ust. 1 dyrektywy 2018/2001. Zgodnie z tym przepisem dyrektywy, w celu promowania korzystania z energii odnawialnej w sektorze ogrzewania i chłodzenia każde państwo członkowskie dąży do zwiększenia udziału energii odnawialnej w tym sektorze orientacyjnie o 1,3 punktu procentowego jako roczna średnia wyliczona dla okresów 2021–2025 i 2026–2030.</w:t>
      </w:r>
    </w:p>
    <w:p w14:paraId="3DB4DF45" w14:textId="22E8C50E" w:rsidR="00C76B1C" w:rsidRPr="001C675E" w:rsidRDefault="001C53F9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Wątpliwe jest, aby n</w:t>
      </w:r>
      <w:r w:rsidR="00C76B1C" w:rsidRPr="001C675E">
        <w:rPr>
          <w:color w:val="auto"/>
          <w:sz w:val="24"/>
          <w:szCs w:val="24"/>
        </w:rPr>
        <w:t xml:space="preserve">owelizowany art. 116 ust. 2 </w:t>
      </w:r>
      <w:r w:rsidR="0038438B" w:rsidRPr="001C675E">
        <w:rPr>
          <w:color w:val="auto"/>
          <w:sz w:val="24"/>
          <w:szCs w:val="24"/>
        </w:rPr>
        <w:t xml:space="preserve">oraz </w:t>
      </w:r>
      <w:r w:rsidR="000A0ACE" w:rsidRPr="001C675E">
        <w:rPr>
          <w:color w:val="auto"/>
          <w:sz w:val="24"/>
          <w:szCs w:val="24"/>
        </w:rPr>
        <w:t xml:space="preserve">jego </w:t>
      </w:r>
      <w:r w:rsidR="0038438B" w:rsidRPr="001C675E">
        <w:rPr>
          <w:color w:val="auto"/>
          <w:sz w:val="24"/>
          <w:szCs w:val="24"/>
        </w:rPr>
        <w:t xml:space="preserve">nowy ust. 2a </w:t>
      </w:r>
      <w:r w:rsidR="00C76B1C" w:rsidRPr="001C675E">
        <w:rPr>
          <w:color w:val="auto"/>
          <w:sz w:val="24"/>
          <w:szCs w:val="24"/>
        </w:rPr>
        <w:t>ustawy OZE dotycz</w:t>
      </w:r>
      <w:r w:rsidRPr="001C675E">
        <w:rPr>
          <w:color w:val="auto"/>
          <w:sz w:val="24"/>
          <w:szCs w:val="24"/>
        </w:rPr>
        <w:t>yły</w:t>
      </w:r>
      <w:r w:rsidR="007E7CC8">
        <w:rPr>
          <w:color w:val="auto"/>
          <w:sz w:val="24"/>
          <w:szCs w:val="24"/>
        </w:rPr>
        <w:t xml:space="preserve"> tej kwestii i</w:t>
      </w:r>
      <w:r w:rsidR="00C76B1C" w:rsidRPr="001C675E">
        <w:rPr>
          <w:color w:val="auto"/>
          <w:sz w:val="24"/>
          <w:szCs w:val="24"/>
        </w:rPr>
        <w:t xml:space="preserve"> skutecznie wdrażał</w:t>
      </w:r>
      <w:r w:rsidR="0038438B" w:rsidRPr="001C675E">
        <w:rPr>
          <w:color w:val="auto"/>
          <w:sz w:val="24"/>
          <w:szCs w:val="24"/>
        </w:rPr>
        <w:t>y</w:t>
      </w:r>
      <w:r w:rsidR="00C76B1C" w:rsidRPr="001C675E">
        <w:rPr>
          <w:color w:val="auto"/>
          <w:sz w:val="24"/>
          <w:szCs w:val="24"/>
        </w:rPr>
        <w:t xml:space="preserve"> do prawa polskiego ww. art. 23 ust. 1 dyrektywy 2018/2001. Zgodnie bowiem z projektow</w:t>
      </w:r>
      <w:r w:rsidR="0038438B" w:rsidRPr="001C675E">
        <w:rPr>
          <w:color w:val="auto"/>
          <w:sz w:val="24"/>
          <w:szCs w:val="24"/>
        </w:rPr>
        <w:t>aną</w:t>
      </w:r>
      <w:r w:rsidR="00C76B1C" w:rsidRPr="001C675E">
        <w:rPr>
          <w:color w:val="auto"/>
          <w:sz w:val="24"/>
          <w:szCs w:val="24"/>
        </w:rPr>
        <w:t xml:space="preserve"> treścią art. 116 ust. 2 </w:t>
      </w:r>
      <w:r w:rsidR="0038438B" w:rsidRPr="001C675E">
        <w:rPr>
          <w:color w:val="auto"/>
          <w:sz w:val="24"/>
          <w:szCs w:val="24"/>
        </w:rPr>
        <w:t xml:space="preserve">i ust. 2a </w:t>
      </w:r>
      <w:r w:rsidR="00C76B1C" w:rsidRPr="001C675E">
        <w:rPr>
          <w:color w:val="auto"/>
          <w:sz w:val="24"/>
          <w:szCs w:val="24"/>
        </w:rPr>
        <w:lastRenderedPageBreak/>
        <w:t>ustawy OZE, przedsiębiorstwo energetyczne, zajmujące się przesyłaniem i</w:t>
      </w:r>
      <w:r w:rsidR="0055702F" w:rsidRPr="001C675E">
        <w:rPr>
          <w:color w:val="auto"/>
          <w:sz w:val="24"/>
          <w:szCs w:val="24"/>
        </w:rPr>
        <w:t xml:space="preserve"> </w:t>
      </w:r>
      <w:r w:rsidR="00C76B1C" w:rsidRPr="001C675E">
        <w:rPr>
          <w:color w:val="auto"/>
          <w:sz w:val="24"/>
          <w:szCs w:val="24"/>
        </w:rPr>
        <w:t xml:space="preserve">dystrybucją ciepła na obszarze danego systemu ciepłowniczego, obowiązane jest do wyrażenia zgody na przyłączenie instalacji, o której mowa w ust. 1, do sieci ciepłowniczej lub zmianę warunków przyłączenia w celu przyłączenia takiej instalacji. </w:t>
      </w:r>
      <w:r w:rsidR="0038438B" w:rsidRPr="001C675E">
        <w:rPr>
          <w:color w:val="auto"/>
          <w:sz w:val="24"/>
          <w:szCs w:val="24"/>
        </w:rPr>
        <w:t>W przypadku niewyrażenia zgody na przyłączenie instalacji odnawialnego źródła energii, przedsiębiorstwo energetyczne zajmujące się przesyłaniem lub dystrybucją ciepła, informuje podmiot ubiegający się o przyłączenie o warunkach, które należy spełnić, aby</w:t>
      </w:r>
      <w:r w:rsidR="0055702F" w:rsidRPr="001C675E">
        <w:rPr>
          <w:color w:val="auto"/>
          <w:sz w:val="24"/>
          <w:szCs w:val="24"/>
        </w:rPr>
        <w:t> </w:t>
      </w:r>
      <w:r w:rsidR="0038438B" w:rsidRPr="001C675E">
        <w:rPr>
          <w:color w:val="auto"/>
          <w:sz w:val="24"/>
          <w:szCs w:val="24"/>
        </w:rPr>
        <w:t xml:space="preserve">umożliwić przyłączenie tej instalacji. </w:t>
      </w:r>
      <w:r w:rsidR="00C76B1C" w:rsidRPr="001C675E">
        <w:rPr>
          <w:color w:val="auto"/>
          <w:sz w:val="24"/>
          <w:szCs w:val="24"/>
        </w:rPr>
        <w:t>Przepis</w:t>
      </w:r>
      <w:r w:rsidR="0038438B" w:rsidRPr="001C675E">
        <w:rPr>
          <w:color w:val="auto"/>
          <w:sz w:val="24"/>
          <w:szCs w:val="24"/>
        </w:rPr>
        <w:t>y te</w:t>
      </w:r>
      <w:r w:rsidR="00C76B1C" w:rsidRPr="001C675E">
        <w:rPr>
          <w:color w:val="auto"/>
          <w:sz w:val="24"/>
          <w:szCs w:val="24"/>
        </w:rPr>
        <w:t xml:space="preserve"> </w:t>
      </w:r>
      <w:r w:rsidR="00D46A68" w:rsidRPr="001C675E">
        <w:rPr>
          <w:color w:val="auto"/>
          <w:sz w:val="24"/>
          <w:szCs w:val="24"/>
        </w:rPr>
        <w:t xml:space="preserve">zatem jedynie pośrednio </w:t>
      </w:r>
      <w:r w:rsidR="00C76B1C" w:rsidRPr="001C675E">
        <w:rPr>
          <w:color w:val="auto"/>
          <w:sz w:val="24"/>
          <w:szCs w:val="24"/>
        </w:rPr>
        <w:t>dotycz</w:t>
      </w:r>
      <w:r w:rsidR="0038438B" w:rsidRPr="001C675E">
        <w:rPr>
          <w:color w:val="auto"/>
          <w:sz w:val="24"/>
          <w:szCs w:val="24"/>
        </w:rPr>
        <w:t>ą</w:t>
      </w:r>
      <w:r w:rsidR="00C76B1C" w:rsidRPr="001C675E">
        <w:rPr>
          <w:color w:val="auto"/>
          <w:sz w:val="24"/>
          <w:szCs w:val="24"/>
        </w:rPr>
        <w:t xml:space="preserve"> zwiększenia udziału energii OZE, </w:t>
      </w:r>
      <w:r w:rsidR="00D46A68" w:rsidRPr="001C675E">
        <w:rPr>
          <w:color w:val="auto"/>
          <w:sz w:val="24"/>
          <w:szCs w:val="24"/>
        </w:rPr>
        <w:t>poprzez wyrażenie zgody na przyłączenie</w:t>
      </w:r>
      <w:r w:rsidRPr="001C675E">
        <w:rPr>
          <w:color w:val="auto"/>
          <w:sz w:val="24"/>
          <w:szCs w:val="24"/>
        </w:rPr>
        <w:t xml:space="preserve"> do instalacji OZE, nie wskazują jednak żadnych wartości procentowych wzrostu udziału, do którego osiągnięcia dyrektywa 2018/2001 zobowiązuje państwa członkowskie.</w:t>
      </w:r>
    </w:p>
    <w:p w14:paraId="752D46C2" w14:textId="34712CBC" w:rsidR="00C76B1C" w:rsidRPr="001C675E" w:rsidRDefault="00C76B1C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Z drugiej strony, kwestii wyrażenia zgody na przyłączenie do instalacji OZE </w:t>
      </w:r>
      <w:r w:rsidR="0038438B" w:rsidRPr="001C675E">
        <w:rPr>
          <w:color w:val="auto"/>
          <w:sz w:val="24"/>
          <w:szCs w:val="24"/>
        </w:rPr>
        <w:t>zdaje się dotyczyć</w:t>
      </w:r>
      <w:r w:rsidRPr="001C675E">
        <w:rPr>
          <w:color w:val="auto"/>
          <w:sz w:val="24"/>
          <w:szCs w:val="24"/>
        </w:rPr>
        <w:t xml:space="preserve"> nie art. 23 ust. 1 dyrektywy 2018/2001, ale jej art. 24 ust. 5. Zgodnie z</w:t>
      </w:r>
      <w:r w:rsidR="0055702F" w:rsidRPr="001C675E">
        <w:rPr>
          <w:color w:val="auto"/>
          <w:sz w:val="24"/>
          <w:szCs w:val="24"/>
        </w:rPr>
        <w:t xml:space="preserve"> </w:t>
      </w:r>
      <w:r w:rsidRPr="001C675E">
        <w:rPr>
          <w:color w:val="auto"/>
          <w:sz w:val="24"/>
          <w:szCs w:val="24"/>
        </w:rPr>
        <w:t>akapitem 2 tego przepisu, państwa członkowskie zapewniają, by w przypadku gdy operator systemu ciepłowniczego lub chłodniczego odmówi przyłączenia dostawcy ciepła lub chłodu, operator ten przekazał właściwemu organowi informację dotyczącą powodów odmowy, jak również warunków, które należałoby spełnić i</w:t>
      </w:r>
      <w:r w:rsidR="0055702F" w:rsidRPr="001C675E">
        <w:rPr>
          <w:color w:val="auto"/>
          <w:sz w:val="24"/>
          <w:szCs w:val="24"/>
        </w:rPr>
        <w:t xml:space="preserve"> </w:t>
      </w:r>
      <w:r w:rsidRPr="001C675E">
        <w:rPr>
          <w:color w:val="auto"/>
          <w:sz w:val="24"/>
          <w:szCs w:val="24"/>
        </w:rPr>
        <w:t>środków, które należałoby wprowadzić w systemie, aby umożliwić takie przyłączenie.</w:t>
      </w:r>
    </w:p>
    <w:p w14:paraId="00DD8F7B" w14:textId="419D176F" w:rsidR="00054B2B" w:rsidRPr="00023C92" w:rsidRDefault="00C76B1C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</w:t>
      </w:r>
      <w:r w:rsidR="0038438B" w:rsidRPr="001C675E">
        <w:rPr>
          <w:color w:val="auto"/>
          <w:sz w:val="24"/>
          <w:szCs w:val="24"/>
        </w:rPr>
        <w:t>e</w:t>
      </w:r>
      <w:r w:rsidRPr="001C675E">
        <w:rPr>
          <w:color w:val="auto"/>
          <w:sz w:val="24"/>
          <w:szCs w:val="24"/>
        </w:rPr>
        <w:t xml:space="preserve"> art. 116 ust. 2 </w:t>
      </w:r>
      <w:r w:rsidR="0038438B" w:rsidRPr="001C675E">
        <w:rPr>
          <w:color w:val="auto"/>
          <w:sz w:val="24"/>
          <w:szCs w:val="24"/>
        </w:rPr>
        <w:t xml:space="preserve">i ust. 2a </w:t>
      </w:r>
      <w:r w:rsidRPr="001C675E">
        <w:rPr>
          <w:color w:val="auto"/>
          <w:sz w:val="24"/>
          <w:szCs w:val="24"/>
        </w:rPr>
        <w:t xml:space="preserve">ustawy OZE </w:t>
      </w:r>
      <w:r w:rsidR="0038438B" w:rsidRPr="001C675E">
        <w:rPr>
          <w:color w:val="auto"/>
          <w:sz w:val="24"/>
          <w:szCs w:val="24"/>
        </w:rPr>
        <w:t xml:space="preserve">tylko częściowo </w:t>
      </w:r>
      <w:r w:rsidRPr="001C675E">
        <w:rPr>
          <w:color w:val="auto"/>
          <w:sz w:val="24"/>
          <w:szCs w:val="24"/>
        </w:rPr>
        <w:t>odnos</w:t>
      </w:r>
      <w:r w:rsidR="0038438B" w:rsidRPr="001C675E">
        <w:rPr>
          <w:color w:val="auto"/>
          <w:sz w:val="24"/>
          <w:szCs w:val="24"/>
        </w:rPr>
        <w:t>zą</w:t>
      </w:r>
      <w:r w:rsidRPr="001C675E">
        <w:rPr>
          <w:color w:val="auto"/>
          <w:sz w:val="24"/>
          <w:szCs w:val="24"/>
        </w:rPr>
        <w:t xml:space="preserve"> się do </w:t>
      </w:r>
      <w:r w:rsidR="0038438B" w:rsidRPr="001C675E">
        <w:rPr>
          <w:color w:val="auto"/>
          <w:sz w:val="24"/>
          <w:szCs w:val="24"/>
        </w:rPr>
        <w:t xml:space="preserve">art. 24 ust. 5 dyrektywy 2018/2001, ponieważ nakazują poinformować podmiot ubiegający się o przyłączenie o warunkach, które należy spełnić, aby umożliwić przyłączenie tej instalacji. </w:t>
      </w:r>
      <w:r w:rsidR="0038438B" w:rsidRPr="00023C92">
        <w:rPr>
          <w:color w:val="auto"/>
          <w:sz w:val="24"/>
          <w:szCs w:val="24"/>
        </w:rPr>
        <w:t>Nie przewidują jednak obowiązku poinformowania Prezesa URE o powodach odmowy, jak również o warunkach, które należałoby spełnić i środków, które należałoby wprowadzić w systemie, aby umożliwić takie przyłączenie.</w:t>
      </w:r>
    </w:p>
    <w:p w14:paraId="1BC77758" w14:textId="006A237E" w:rsidR="00796B0C" w:rsidRPr="001C675E" w:rsidRDefault="003B00A6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 xml:space="preserve">Art. 1 pkt </w:t>
      </w:r>
      <w:r w:rsidR="00E66A7B" w:rsidRPr="001C675E">
        <w:rPr>
          <w:b/>
          <w:color w:val="auto"/>
          <w:sz w:val="24"/>
          <w:szCs w:val="24"/>
        </w:rPr>
        <w:t>7</w:t>
      </w:r>
      <w:r w:rsidRPr="001C675E">
        <w:rPr>
          <w:b/>
          <w:color w:val="auto"/>
          <w:sz w:val="24"/>
          <w:szCs w:val="24"/>
        </w:rPr>
        <w:t>7</w:t>
      </w:r>
      <w:r w:rsidR="00E66A7B" w:rsidRPr="001C675E">
        <w:rPr>
          <w:b/>
          <w:color w:val="auto"/>
          <w:sz w:val="24"/>
          <w:szCs w:val="24"/>
        </w:rPr>
        <w:t xml:space="preserve"> lit</w:t>
      </w:r>
      <w:r w:rsidR="00023C92">
        <w:rPr>
          <w:b/>
          <w:color w:val="auto"/>
          <w:sz w:val="24"/>
          <w:szCs w:val="24"/>
        </w:rPr>
        <w:t>.</w:t>
      </w:r>
      <w:r w:rsidR="00E66A7B" w:rsidRPr="001C675E">
        <w:rPr>
          <w:b/>
          <w:color w:val="auto"/>
          <w:sz w:val="24"/>
          <w:szCs w:val="24"/>
        </w:rPr>
        <w:t xml:space="preserve"> a) </w:t>
      </w:r>
      <w:r w:rsidR="00796B0C" w:rsidRPr="001C675E">
        <w:rPr>
          <w:b/>
          <w:color w:val="auto"/>
          <w:sz w:val="24"/>
          <w:szCs w:val="24"/>
        </w:rPr>
        <w:t>projektu</w:t>
      </w:r>
    </w:p>
    <w:p w14:paraId="650A4098" w14:textId="2BFBCE64" w:rsidR="00D319BF" w:rsidRPr="001C675E" w:rsidRDefault="00E66A7B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przepis został wskazany</w:t>
      </w:r>
      <w:r w:rsidR="00023C92">
        <w:rPr>
          <w:color w:val="auto"/>
          <w:sz w:val="24"/>
          <w:szCs w:val="24"/>
        </w:rPr>
        <w:t xml:space="preserve"> w tabeli zgodności</w:t>
      </w:r>
      <w:r w:rsidRPr="001C675E">
        <w:rPr>
          <w:color w:val="auto"/>
          <w:sz w:val="24"/>
          <w:szCs w:val="24"/>
        </w:rPr>
        <w:t xml:space="preserve">, jako wdrażający do prawa polskiego art. 2 pkt 12 dyrektywy 2018/2001, </w:t>
      </w:r>
      <w:r w:rsidR="00023C92">
        <w:rPr>
          <w:color w:val="auto"/>
          <w:sz w:val="24"/>
          <w:szCs w:val="24"/>
        </w:rPr>
        <w:t>który zawiera</w:t>
      </w:r>
      <w:r w:rsidRPr="001C675E">
        <w:rPr>
          <w:color w:val="auto"/>
          <w:sz w:val="24"/>
          <w:szCs w:val="24"/>
        </w:rPr>
        <w:t xml:space="preserve"> definicję „</w:t>
      </w:r>
      <w:r w:rsidR="00D319BF" w:rsidRPr="001C675E">
        <w:rPr>
          <w:color w:val="auto"/>
          <w:sz w:val="24"/>
          <w:szCs w:val="24"/>
        </w:rPr>
        <w:t>gwarancja pochodzenia</w:t>
      </w:r>
      <w:r w:rsidRPr="001C675E">
        <w:rPr>
          <w:color w:val="auto"/>
          <w:sz w:val="24"/>
          <w:szCs w:val="24"/>
        </w:rPr>
        <w:t>”.</w:t>
      </w:r>
      <w:r w:rsidR="00D319BF" w:rsidRPr="001C675E">
        <w:rPr>
          <w:color w:val="auto"/>
          <w:sz w:val="24"/>
          <w:szCs w:val="24"/>
        </w:rPr>
        <w:t xml:space="preserve"> Zgodnie z tą definicją, gwarancją pochodzenia jest „elektroniczny dokument, który służy wyłącznie jako dowód dla odbiorcy końcowego, że dana część lub ilość energii została wyprodukowana ze źródeł odnawialnych”. </w:t>
      </w:r>
      <w:r w:rsidR="00E65A09" w:rsidRPr="001C675E">
        <w:rPr>
          <w:color w:val="auto"/>
          <w:sz w:val="24"/>
          <w:szCs w:val="24"/>
        </w:rPr>
        <w:t>Definicja zawarta w art. 1 pkt 77 lit</w:t>
      </w:r>
      <w:r w:rsidR="00023C92">
        <w:rPr>
          <w:color w:val="auto"/>
          <w:sz w:val="24"/>
          <w:szCs w:val="24"/>
        </w:rPr>
        <w:t>.</w:t>
      </w:r>
      <w:r w:rsidR="00E65A09" w:rsidRPr="001C675E">
        <w:rPr>
          <w:color w:val="auto"/>
          <w:sz w:val="24"/>
          <w:szCs w:val="24"/>
        </w:rPr>
        <w:t xml:space="preserve"> a) projektu wykracza poza ww. granice.</w:t>
      </w:r>
    </w:p>
    <w:p w14:paraId="22C0A86C" w14:textId="41108F37" w:rsidR="00785004" w:rsidRPr="001C675E" w:rsidRDefault="00785004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1 pkt 78 lit. a) projektu</w:t>
      </w:r>
    </w:p>
    <w:p w14:paraId="198217EF" w14:textId="5A52317F" w:rsidR="00785004" w:rsidRPr="001C675E" w:rsidRDefault="00785004" w:rsidP="001C675E">
      <w:pPr>
        <w:pStyle w:val="Akapitzlist"/>
        <w:spacing w:after="120" w:line="240" w:lineRule="auto"/>
        <w:ind w:left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art. 121 ustawy OZE został wskazany, jako wdrażający do prawa polskiego art. 19 ust. 7 dyrektywy 2018/2001, określający treść gwarancji pochodzenia. Projektowany art. 121 ustawy OZE nie wdraża jednak wskazanego przepisu dyrektywy, ponieważ zamiast określenia treści gwarancji pochodzenia określa, co powinien zawierać wniosek o wydanie gwarancji pochodzenia.</w:t>
      </w:r>
    </w:p>
    <w:p w14:paraId="5811B242" w14:textId="281997C8" w:rsidR="00785004" w:rsidRPr="001C675E" w:rsidRDefault="00785004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1 pkt 79 lit</w:t>
      </w:r>
      <w:r w:rsidR="00EB59BF">
        <w:rPr>
          <w:b/>
          <w:color w:val="auto"/>
          <w:sz w:val="24"/>
          <w:szCs w:val="24"/>
        </w:rPr>
        <w:t>.</w:t>
      </w:r>
      <w:r w:rsidRPr="001C675E">
        <w:rPr>
          <w:b/>
          <w:color w:val="auto"/>
          <w:sz w:val="24"/>
          <w:szCs w:val="24"/>
        </w:rPr>
        <w:t xml:space="preserve"> b) projektu</w:t>
      </w:r>
    </w:p>
    <w:p w14:paraId="06B03B34" w14:textId="79AD95CA" w:rsidR="00785004" w:rsidRDefault="00785004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art. 122 ust. 3a ustawy OZE został wskazany, jako wdrażający do prawa polskiego art. 19 ust. 3 dyrektywy 2018/2001, zgodnie z którym państwa członkowskie zapewniają, aby wszystkie gwarancje pochodzenia, które nie zostały anulowane, utraciły ważność najpóźniej w terminie 18 miesięcy po dacie wyprodukowania jednostki energii. Projektowany art. 122 ust. 3a ustawy OZE nie spełnia tego wymagania i zamiast wprowadzenia do prawa polskiego obowiązku wprowadza jedynie możliwość, zgodnie z którą gwarancja pochodzenia może zostać umorzona, w okresie 18 miesięcy.</w:t>
      </w:r>
    </w:p>
    <w:p w14:paraId="13584EC3" w14:textId="77777777" w:rsidR="00360878" w:rsidRPr="001C675E" w:rsidRDefault="00360878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</w:p>
    <w:p w14:paraId="3E13DADC" w14:textId="70D2F3CC" w:rsidR="00E65A09" w:rsidRPr="001C675E" w:rsidRDefault="00E65A09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bookmarkStart w:id="12" w:name="mip55394886"/>
      <w:bookmarkStart w:id="13" w:name="mip55394887"/>
      <w:bookmarkStart w:id="14" w:name="mip55394888"/>
      <w:bookmarkStart w:id="15" w:name="mip55394889"/>
      <w:bookmarkEnd w:id="12"/>
      <w:bookmarkEnd w:id="13"/>
      <w:bookmarkEnd w:id="14"/>
      <w:bookmarkEnd w:id="15"/>
      <w:r w:rsidRPr="001C675E">
        <w:rPr>
          <w:b/>
          <w:color w:val="auto"/>
          <w:sz w:val="24"/>
          <w:szCs w:val="24"/>
        </w:rPr>
        <w:lastRenderedPageBreak/>
        <w:t>Art. 1 pkt 80 lit</w:t>
      </w:r>
      <w:r w:rsidR="00EB59BF">
        <w:rPr>
          <w:b/>
          <w:color w:val="auto"/>
          <w:sz w:val="24"/>
          <w:szCs w:val="24"/>
        </w:rPr>
        <w:t>.</w:t>
      </w:r>
      <w:r w:rsidRPr="001C675E">
        <w:rPr>
          <w:b/>
          <w:color w:val="auto"/>
          <w:sz w:val="24"/>
          <w:szCs w:val="24"/>
        </w:rPr>
        <w:t xml:space="preserve"> a) projektu</w:t>
      </w:r>
    </w:p>
    <w:p w14:paraId="57BBBDA8" w14:textId="7D03F34D" w:rsidR="00E65A09" w:rsidRPr="001C675E" w:rsidRDefault="00E65A09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Nowelizowany art. 123 ust. 2 ustawy OZE wskazuje przypadki, w których Prezes URE odmawia uznania gwarancji pochodzenia</w:t>
      </w:r>
      <w:r w:rsidR="00CC7B48" w:rsidRPr="001C675E">
        <w:rPr>
          <w:color w:val="auto"/>
          <w:sz w:val="24"/>
          <w:szCs w:val="24"/>
        </w:rPr>
        <w:t xml:space="preserve"> wydanej </w:t>
      </w:r>
      <w:r w:rsidR="00CC7B48" w:rsidRPr="001C675E">
        <w:rPr>
          <w:color w:val="auto"/>
          <w:sz w:val="24"/>
          <w:szCs w:val="24"/>
          <w:shd w:val="clear" w:color="auto" w:fill="FFFFFF"/>
        </w:rPr>
        <w:t>w innym państwie członkowskim Unii Europejskiej, Konfederacji Szwajcarskiej lub państwie członkowskim Europejskiego Porozumienia o Wolnym Handlu (EFTA) - stronie umowy o Europejskim Obszarze Gospodarczym lub państwie członkowskim Wspólnoty Energetycznej</w:t>
      </w:r>
      <w:r w:rsidRPr="001C675E">
        <w:rPr>
          <w:color w:val="auto"/>
          <w:sz w:val="24"/>
          <w:szCs w:val="24"/>
        </w:rPr>
        <w:t>. Zgodnie z tym przepisem dotyczy to sytuacji, gdy:</w:t>
      </w:r>
    </w:p>
    <w:p w14:paraId="3D3D6287" w14:textId="677841EF" w:rsidR="00E65A09" w:rsidRPr="001C675E" w:rsidRDefault="00E65A09" w:rsidP="001C675E">
      <w:pPr>
        <w:pStyle w:val="Akapitzlist"/>
        <w:numPr>
          <w:ilvl w:val="1"/>
          <w:numId w:val="33"/>
        </w:numPr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wystąpią uzasadnione wątpliwości co do jej autentyczności lub wiarygodności,</w:t>
      </w:r>
    </w:p>
    <w:p w14:paraId="0B8649FD" w14:textId="4F710755" w:rsidR="00E65A09" w:rsidRPr="001C675E" w:rsidRDefault="00E65A09" w:rsidP="001C675E">
      <w:pPr>
        <w:pStyle w:val="Akapitzlist"/>
        <w:numPr>
          <w:ilvl w:val="1"/>
          <w:numId w:val="33"/>
        </w:numPr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posiadacz gwarancji pochodzenia nie posiada konta w rejestrze </w:t>
      </w:r>
      <w:r w:rsidR="00CC7B48" w:rsidRPr="001C675E">
        <w:rPr>
          <w:color w:val="auto"/>
          <w:sz w:val="24"/>
          <w:szCs w:val="24"/>
        </w:rPr>
        <w:t>gwarancji pochodzenia, o którym mowa w art. 124 ust. 1 ustawy OZE.</w:t>
      </w:r>
    </w:p>
    <w:p w14:paraId="58E9E826" w14:textId="34EB888A" w:rsidR="00CC7B48" w:rsidRPr="001C675E" w:rsidRDefault="00CC7B48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Przepis ten jest niezgodny z art. 19 ust. 9 dyrektywy 2018/2001, zgodnie z którym państwo członkowskie może odmówić uznania gwarancji pochodzenia wydanej w</w:t>
      </w:r>
      <w:r w:rsidR="009533D5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innym państwie wyłącznie, jeżeli ma uzasadnione wątpliwości co do jej dokładności, wiarygodności lub autentyczności. Przepis ten nie pozwala na odmowę uznania gwarancji pochodzenia wydanej w innym państwie w sytuacji, gdy posiadacz gwarancji nie posiada konta w rejestrze gwarancji pochodzenia prowadzonym na podstawie krajowych przepisów.</w:t>
      </w:r>
    </w:p>
    <w:p w14:paraId="050C2952" w14:textId="62B4C702" w:rsidR="00CC7B48" w:rsidRPr="001C675E" w:rsidRDefault="00CC7B48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Projektowany przepis jest ponadto niespójny z art. 124 </w:t>
      </w:r>
      <w:r w:rsidR="00227304" w:rsidRPr="001C675E">
        <w:rPr>
          <w:color w:val="auto"/>
          <w:sz w:val="24"/>
          <w:szCs w:val="24"/>
        </w:rPr>
        <w:t>ust. 2 pkt 2</w:t>
      </w:r>
      <w:r w:rsidRPr="001C675E">
        <w:rPr>
          <w:color w:val="auto"/>
          <w:sz w:val="24"/>
          <w:szCs w:val="24"/>
        </w:rPr>
        <w:t xml:space="preserve"> ustawy OZE, zgodnie z którym </w:t>
      </w:r>
      <w:r w:rsidR="00227304" w:rsidRPr="001C675E">
        <w:rPr>
          <w:color w:val="auto"/>
          <w:sz w:val="24"/>
          <w:szCs w:val="24"/>
        </w:rPr>
        <w:t xml:space="preserve">warunkiem wpisu gwarancji pochodzenia wydanych </w:t>
      </w:r>
      <w:r w:rsidR="00227304" w:rsidRPr="001C675E">
        <w:rPr>
          <w:color w:val="auto"/>
          <w:sz w:val="24"/>
          <w:szCs w:val="24"/>
          <w:shd w:val="clear" w:color="auto" w:fill="FFFFFF"/>
        </w:rPr>
        <w:t xml:space="preserve">w innym państwie członkowskim Unii Europejskiej, Konfederacji Szwajcarskiej lub państwie członkowskim Europejskiego Porozumienia o Wolnym Handlu (EFTA) - stronie umowy o Europejskim Obszarze Gospodarczym lub państwie członkowskim Wspólnoty Energetycznej, </w:t>
      </w:r>
      <w:r w:rsidR="00227304" w:rsidRPr="001C675E">
        <w:rPr>
          <w:color w:val="auto"/>
          <w:sz w:val="24"/>
          <w:szCs w:val="24"/>
        </w:rPr>
        <w:t>do</w:t>
      </w:r>
      <w:r w:rsidR="009533D5" w:rsidRPr="001C675E">
        <w:rPr>
          <w:color w:val="auto"/>
          <w:sz w:val="24"/>
          <w:szCs w:val="24"/>
        </w:rPr>
        <w:t> </w:t>
      </w:r>
      <w:r w:rsidR="00227304" w:rsidRPr="001C675E">
        <w:rPr>
          <w:color w:val="auto"/>
          <w:sz w:val="24"/>
          <w:szCs w:val="24"/>
        </w:rPr>
        <w:t xml:space="preserve">rejestru gwarancji pochodzenia prowadzonego na podstawie ustawy OZE jest ich uprzednie </w:t>
      </w:r>
      <w:r w:rsidR="009533D5" w:rsidRPr="001C675E">
        <w:rPr>
          <w:color w:val="auto"/>
          <w:sz w:val="24"/>
          <w:szCs w:val="24"/>
        </w:rPr>
        <w:t xml:space="preserve">uznanie </w:t>
      </w:r>
      <w:r w:rsidR="00227304" w:rsidRPr="001C675E">
        <w:rPr>
          <w:color w:val="auto"/>
          <w:sz w:val="24"/>
          <w:szCs w:val="24"/>
        </w:rPr>
        <w:t xml:space="preserve">przez Prezesa URE. Obecny projekt zmienia tę kolejność i stwarza zagrożenie, że Prezes URE nie będzie mógł uznawać gwarancji pochodzenia wydanych </w:t>
      </w:r>
      <w:r w:rsidR="00227304" w:rsidRPr="001C675E">
        <w:rPr>
          <w:color w:val="auto"/>
          <w:sz w:val="24"/>
          <w:szCs w:val="24"/>
          <w:shd w:val="clear" w:color="auto" w:fill="FFFFFF"/>
        </w:rPr>
        <w:t>w innym państwie członkowskim Unii Europejskiej, Konfederacji Szwajcarskiej lub państwie członkowskim Europejskiego Porozumienia o Wolnym Handlu (EFTA) - stronie umowy o Europejskim Obszarze Gospodarczym lub państwie członkowskim Wspólnoty Energetycznej.</w:t>
      </w:r>
    </w:p>
    <w:p w14:paraId="42E8F46D" w14:textId="34228E65" w:rsidR="00227304" w:rsidRPr="001C675E" w:rsidRDefault="00227304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1 pkt 84 projektu</w:t>
      </w:r>
    </w:p>
    <w:p w14:paraId="48AD28D2" w14:textId="40816D83" w:rsidR="00515B9A" w:rsidRPr="001C675E" w:rsidRDefault="00515B9A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Nowododawany art. 125a ust. 1 ustawy OZE z</w:t>
      </w:r>
      <w:r w:rsidR="00227304" w:rsidRPr="001C675E">
        <w:rPr>
          <w:color w:val="auto"/>
          <w:sz w:val="24"/>
          <w:szCs w:val="24"/>
        </w:rPr>
        <w:t xml:space="preserve">ostał wskazany jako wdrażający do prawa polskiego art. 2 pkt 13 dyrektywy 2018/2001, </w:t>
      </w:r>
      <w:r w:rsidR="00CB6F4D">
        <w:rPr>
          <w:color w:val="auto"/>
          <w:sz w:val="24"/>
          <w:szCs w:val="24"/>
        </w:rPr>
        <w:t xml:space="preserve">który </w:t>
      </w:r>
      <w:r w:rsidR="00227304" w:rsidRPr="001C675E">
        <w:rPr>
          <w:color w:val="auto"/>
          <w:sz w:val="24"/>
          <w:szCs w:val="24"/>
        </w:rPr>
        <w:t>zawiera definicję „</w:t>
      </w:r>
      <w:proofErr w:type="spellStart"/>
      <w:r w:rsidR="00227304" w:rsidRPr="001C675E">
        <w:rPr>
          <w:color w:val="auto"/>
          <w:sz w:val="24"/>
          <w:szCs w:val="24"/>
        </w:rPr>
        <w:t>miks</w:t>
      </w:r>
      <w:proofErr w:type="spellEnd"/>
      <w:r w:rsidR="00227304" w:rsidRPr="001C675E">
        <w:rPr>
          <w:color w:val="auto"/>
          <w:sz w:val="24"/>
          <w:szCs w:val="24"/>
        </w:rPr>
        <w:t xml:space="preserve"> pozostałej energii”</w:t>
      </w:r>
      <w:r w:rsidRPr="001C675E">
        <w:rPr>
          <w:color w:val="auto"/>
          <w:sz w:val="24"/>
          <w:szCs w:val="24"/>
        </w:rPr>
        <w:t>. Z</w:t>
      </w:r>
      <w:r w:rsidR="00227304" w:rsidRPr="001C675E">
        <w:rPr>
          <w:color w:val="auto"/>
          <w:sz w:val="24"/>
          <w:szCs w:val="24"/>
        </w:rPr>
        <w:t xml:space="preserve">godnie z </w:t>
      </w:r>
      <w:r w:rsidRPr="001C675E">
        <w:rPr>
          <w:color w:val="auto"/>
          <w:sz w:val="24"/>
          <w:szCs w:val="24"/>
        </w:rPr>
        <w:t xml:space="preserve">definicją zawartą w dyrektywie 2018/2001 jest to „całkowity roczny </w:t>
      </w:r>
      <w:proofErr w:type="spellStart"/>
      <w:r w:rsidRPr="001C675E">
        <w:rPr>
          <w:color w:val="auto"/>
          <w:sz w:val="24"/>
          <w:szCs w:val="24"/>
        </w:rPr>
        <w:t>miks</w:t>
      </w:r>
      <w:proofErr w:type="spellEnd"/>
      <w:r w:rsidRPr="001C675E">
        <w:rPr>
          <w:color w:val="auto"/>
          <w:sz w:val="24"/>
          <w:szCs w:val="24"/>
        </w:rPr>
        <w:t xml:space="preserve"> energetyczny danego państwa członkowskiego z wyłączeniem części objętej anulowanymi gwarancjami pochodzenia”. </w:t>
      </w:r>
    </w:p>
    <w:p w14:paraId="1F0EC5AD" w14:textId="3EC25727" w:rsidR="00515B9A" w:rsidRPr="001C675E" w:rsidRDefault="009533D5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</w:t>
      </w:r>
      <w:r w:rsidR="00515B9A" w:rsidRPr="001C675E">
        <w:rPr>
          <w:color w:val="auto"/>
          <w:sz w:val="24"/>
          <w:szCs w:val="24"/>
        </w:rPr>
        <w:t xml:space="preserve">rojektowany art. 125a ust. 1 ustawy OZE błędnie wdraża </w:t>
      </w:r>
      <w:r w:rsidRPr="001C675E">
        <w:rPr>
          <w:color w:val="auto"/>
          <w:sz w:val="24"/>
          <w:szCs w:val="24"/>
        </w:rPr>
        <w:t>art. 2 pkt 13 dyrektywy 2018/2001</w:t>
      </w:r>
      <w:r w:rsidR="00515B9A" w:rsidRPr="001C675E">
        <w:rPr>
          <w:color w:val="auto"/>
          <w:sz w:val="24"/>
          <w:szCs w:val="24"/>
        </w:rPr>
        <w:t>, ponieważ wskazuje (używając pojęcia „</w:t>
      </w:r>
      <w:proofErr w:type="spellStart"/>
      <w:r w:rsidR="00515B9A" w:rsidRPr="001C675E">
        <w:rPr>
          <w:color w:val="auto"/>
          <w:sz w:val="24"/>
          <w:szCs w:val="24"/>
        </w:rPr>
        <w:t>miks</w:t>
      </w:r>
      <w:proofErr w:type="spellEnd"/>
      <w:r w:rsidR="00515B9A" w:rsidRPr="001C675E">
        <w:rPr>
          <w:color w:val="auto"/>
          <w:sz w:val="24"/>
          <w:szCs w:val="24"/>
        </w:rPr>
        <w:t xml:space="preserve"> resztkowy”), że jest to „energia elektryczna wytworzona i wprowadzona do sieci dystrybucyjnej lub przesyłowej lub za pomocą linii bezpośredniej w rozumieniu art. 3 pkt 11f ustawy – Prawo energetyczne w</w:t>
      </w:r>
      <w:r w:rsidRPr="001C675E">
        <w:rPr>
          <w:color w:val="auto"/>
          <w:sz w:val="24"/>
          <w:szCs w:val="24"/>
        </w:rPr>
        <w:t> </w:t>
      </w:r>
      <w:r w:rsidR="00515B9A" w:rsidRPr="001C675E">
        <w:rPr>
          <w:color w:val="auto"/>
          <w:sz w:val="24"/>
          <w:szCs w:val="24"/>
        </w:rPr>
        <w:t>danym roku rozliczeniowym trwającym od dnia 1 kwietnia do dnia 31 marca roku następnego, z</w:t>
      </w:r>
      <w:r w:rsidRPr="001C675E">
        <w:rPr>
          <w:color w:val="auto"/>
          <w:sz w:val="24"/>
          <w:szCs w:val="24"/>
        </w:rPr>
        <w:t xml:space="preserve"> </w:t>
      </w:r>
      <w:r w:rsidR="00515B9A" w:rsidRPr="001C675E">
        <w:rPr>
          <w:color w:val="auto"/>
          <w:sz w:val="24"/>
          <w:szCs w:val="24"/>
        </w:rPr>
        <w:t>uwzględnieniem przepływów rzeczywistych z poszczególnych krajów, pomniejszona o</w:t>
      </w:r>
      <w:r w:rsidRPr="001C675E">
        <w:rPr>
          <w:color w:val="auto"/>
          <w:sz w:val="24"/>
          <w:szCs w:val="24"/>
        </w:rPr>
        <w:t xml:space="preserve"> </w:t>
      </w:r>
      <w:r w:rsidR="00515B9A" w:rsidRPr="001C675E">
        <w:rPr>
          <w:color w:val="auto"/>
          <w:sz w:val="24"/>
          <w:szCs w:val="24"/>
        </w:rPr>
        <w:t>energię, dla której umorzono gwarancje pochodzenia, w terminie do</w:t>
      </w:r>
      <w:r w:rsidRPr="001C675E">
        <w:rPr>
          <w:color w:val="auto"/>
          <w:sz w:val="24"/>
          <w:szCs w:val="24"/>
        </w:rPr>
        <w:t> </w:t>
      </w:r>
      <w:r w:rsidR="00515B9A" w:rsidRPr="001C675E">
        <w:rPr>
          <w:color w:val="auto"/>
          <w:sz w:val="24"/>
          <w:szCs w:val="24"/>
        </w:rPr>
        <w:t xml:space="preserve">dnia 30 czerwca roku następującego po roku, którego dotyczy </w:t>
      </w:r>
      <w:proofErr w:type="spellStart"/>
      <w:r w:rsidR="00515B9A" w:rsidRPr="001C675E">
        <w:rPr>
          <w:color w:val="auto"/>
          <w:sz w:val="24"/>
          <w:szCs w:val="24"/>
        </w:rPr>
        <w:t>miks</w:t>
      </w:r>
      <w:proofErr w:type="spellEnd"/>
      <w:r w:rsidR="00515B9A" w:rsidRPr="001C675E">
        <w:rPr>
          <w:color w:val="auto"/>
          <w:sz w:val="24"/>
          <w:szCs w:val="24"/>
        </w:rPr>
        <w:t xml:space="preserve"> resztkowy.”</w:t>
      </w:r>
    </w:p>
    <w:p w14:paraId="7EA71C91" w14:textId="47C493C4" w:rsidR="00515B9A" w:rsidRPr="001C675E" w:rsidRDefault="00515B9A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Wyżej wskazana definicja zawarta w projektowanym art. 125a ust. 1 ustawy OZE nie odnosi się do całkowitego rocznego </w:t>
      </w:r>
      <w:proofErr w:type="spellStart"/>
      <w:r w:rsidRPr="001C675E">
        <w:rPr>
          <w:color w:val="auto"/>
          <w:sz w:val="24"/>
          <w:szCs w:val="24"/>
        </w:rPr>
        <w:t>miksu</w:t>
      </w:r>
      <w:proofErr w:type="spellEnd"/>
      <w:r w:rsidRPr="001C675E">
        <w:rPr>
          <w:color w:val="auto"/>
          <w:sz w:val="24"/>
          <w:szCs w:val="24"/>
        </w:rPr>
        <w:t xml:space="preserve"> energetycznego państwa z wyłączeniem </w:t>
      </w:r>
      <w:r w:rsidRPr="001C675E">
        <w:rPr>
          <w:color w:val="auto"/>
          <w:sz w:val="24"/>
          <w:szCs w:val="24"/>
        </w:rPr>
        <w:lastRenderedPageBreak/>
        <w:t>części objętej anulowanymi gwarancjami pochodzenia, ale ograniczona została jedynie do energii elektrycznej.</w:t>
      </w:r>
    </w:p>
    <w:p w14:paraId="37E4A1BF" w14:textId="514CE73B" w:rsidR="00227304" w:rsidRPr="001C675E" w:rsidRDefault="002D75CE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 xml:space="preserve">Art. 1 pkt 87 lit. c) </w:t>
      </w:r>
      <w:proofErr w:type="spellStart"/>
      <w:r w:rsidRPr="001C675E">
        <w:rPr>
          <w:b/>
          <w:color w:val="auto"/>
          <w:sz w:val="24"/>
          <w:szCs w:val="24"/>
        </w:rPr>
        <w:t>tiret</w:t>
      </w:r>
      <w:proofErr w:type="spellEnd"/>
      <w:r w:rsidRPr="001C675E">
        <w:rPr>
          <w:b/>
          <w:color w:val="auto"/>
          <w:sz w:val="24"/>
          <w:szCs w:val="24"/>
        </w:rPr>
        <w:t xml:space="preserve"> drugie projektu</w:t>
      </w:r>
    </w:p>
    <w:p w14:paraId="1E116930" w14:textId="5B8FBB37" w:rsidR="002D75CE" w:rsidRPr="001C675E" w:rsidRDefault="002D75CE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Przepis ten nowelizuje art. 128 ust. 6 ustawy OZE w celu wdrożenia art. 4 ust. 6 dyrektywy 2018/2001. Zgodnie z wdrażanym przepisem dyrektywy 2018/2001, w przypadkach udzielania wsparcia na rzecz energii elektrycznej ze źródeł odnawialnych w drodze postępowań o udzielenie zamówienia, państwa członkowskie aby zapewnić wysoki wskaźnik realizacji projektów:</w:t>
      </w:r>
    </w:p>
    <w:p w14:paraId="1CFD135B" w14:textId="01781EDD" w:rsidR="002D75CE" w:rsidRPr="001C675E" w:rsidRDefault="002D75CE" w:rsidP="001C675E">
      <w:pPr>
        <w:pStyle w:val="Akapitzlist"/>
        <w:numPr>
          <w:ilvl w:val="1"/>
          <w:numId w:val="35"/>
        </w:numPr>
        <w:tabs>
          <w:tab w:val="left" w:pos="7020"/>
        </w:tabs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opracowują i publikują niedyskryminacyjne i przejrzyste kryteria kwalifikacji do postępowań o udzielenie zamówienia i wyznaczają jasne terminy i zasady realizacji projektu;</w:t>
      </w:r>
    </w:p>
    <w:p w14:paraId="616740A9" w14:textId="6FBBB91B" w:rsidR="002D75CE" w:rsidRPr="001C675E" w:rsidRDefault="002D75CE" w:rsidP="001C675E">
      <w:pPr>
        <w:pStyle w:val="Akapitzlist"/>
        <w:numPr>
          <w:ilvl w:val="1"/>
          <w:numId w:val="35"/>
        </w:numPr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publikują informacje o poprzednich postępowaniach o udzielenie zamówienia, w tym na temat wskaźników realizacji projektów.</w:t>
      </w:r>
    </w:p>
    <w:p w14:paraId="4C6AFB9D" w14:textId="58E1F405" w:rsidR="002D75CE" w:rsidRPr="001C675E" w:rsidRDefault="002D75CE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Nowelizowany art. 128 ust. 6 ustawy OZE uwzględnia jedynie wymóg wskazany wyżej pod literą b) natomiast pomija wymóg wskazany pod liter</w:t>
      </w:r>
      <w:r w:rsidR="008640F8">
        <w:rPr>
          <w:color w:val="auto"/>
          <w:sz w:val="24"/>
          <w:szCs w:val="24"/>
        </w:rPr>
        <w:t>ą</w:t>
      </w:r>
      <w:r w:rsidRPr="001C675E">
        <w:rPr>
          <w:color w:val="auto"/>
          <w:sz w:val="24"/>
          <w:szCs w:val="24"/>
        </w:rPr>
        <w:t xml:space="preserve"> a). Wymogu takiego nie zawiera również obecnie obowiązujący art. 128 ustawy OZE.</w:t>
      </w:r>
    </w:p>
    <w:p w14:paraId="4E5F6441" w14:textId="1CB0B030" w:rsidR="007D75BB" w:rsidRPr="001C675E" w:rsidRDefault="007D75BB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1 pkt 90 projektu</w:t>
      </w:r>
    </w:p>
    <w:p w14:paraId="3128367E" w14:textId="14225168" w:rsidR="00227304" w:rsidRPr="001C675E" w:rsidRDefault="007D75BB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przepis dodaje do ustawy OZE rozdział 7a „Krajowy punkt kontaktowy do</w:t>
      </w:r>
      <w:r w:rsidR="00526A67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spraw odnawialnych źródeł energii”. Przepisy projektowanego rozdziału 7a mają na</w:t>
      </w:r>
      <w:r w:rsidR="00526A67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celu wdrożenie do polskiego prawa art. 16 dyrektywy 2018/2001. Zgodnie z tym przepisem, państwa członkowskie powołują lub wyznaczają co najmniej jeden punkt kontaktowy. Punkt kontaktowy ma za zadanie przeprowadzić wnioskodawcę przez administracyjną procedurę składania wniosków o zezwolenie w przejrzysty sposób do</w:t>
      </w:r>
      <w:r w:rsidR="00526A67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momentu wydania przez odpowiedzialne organy jednej lub kilku decyzji na końcu procesu, udzielać mu wszelkich niezbędnych informacji i, w stosownych przypadkach, zapewniać udział innych organów administracyjnych. Wnioskodawcom zezwala się na</w:t>
      </w:r>
      <w:r w:rsidR="00526A67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składanie stosownych dokumentów również w formie cyfrowej.</w:t>
      </w:r>
    </w:p>
    <w:p w14:paraId="399960F0" w14:textId="67E082DF" w:rsidR="00227304" w:rsidRPr="001C675E" w:rsidRDefault="007D75BB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Zgodnie z projektowanym art. 160a ust. 10 ustawy OZE, do udzielania odpowiedzi na</w:t>
      </w:r>
      <w:r w:rsidR="00526A67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pytania dotyczące procedur administracyjnych</w:t>
      </w:r>
      <w:r w:rsidR="00AA5950" w:rsidRPr="001C675E">
        <w:rPr>
          <w:color w:val="auto"/>
          <w:sz w:val="24"/>
          <w:szCs w:val="24"/>
        </w:rPr>
        <w:t xml:space="preserve"> dotyczących rozstrzygnięć umożliwiających przyłączenie instalacji odnawialnego źródła energii oraz wytwarzanie energii z odnawialnego źródła energii</w:t>
      </w:r>
      <w:r w:rsidRPr="001C675E">
        <w:rPr>
          <w:color w:val="auto"/>
          <w:sz w:val="24"/>
          <w:szCs w:val="24"/>
        </w:rPr>
        <w:t>,</w:t>
      </w:r>
      <w:r w:rsidR="00AA5950" w:rsidRPr="001C675E">
        <w:rPr>
          <w:color w:val="auto"/>
          <w:sz w:val="24"/>
          <w:szCs w:val="24"/>
        </w:rPr>
        <w:t xml:space="preserve"> przesyłanych za pośrednictwem formularza zawartego na stronie internetowej urzędu obsługującego ministra właściwego do spraw klimatu, przepisów ustawy – kodeks postępowania administracyjnego nie stosuje się.</w:t>
      </w:r>
    </w:p>
    <w:p w14:paraId="72D47798" w14:textId="7B1703C1" w:rsidR="00DE6AC4" w:rsidRPr="001C675E" w:rsidRDefault="00AA5950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Nie są jasne motywy oraz konsekwencje ww. wyłączenia stosowania przepisów kodeksu postępowania administracyjnego. Projektowane wyłączenie może dotyczyć np.</w:t>
      </w:r>
      <w:r w:rsidR="00742167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 xml:space="preserve">sytuacji, w której, na podstawie projektowanego art. 160a ust. 9 pkt 1 </w:t>
      </w:r>
      <w:r w:rsidR="00742167" w:rsidRPr="001C675E">
        <w:rPr>
          <w:color w:val="auto"/>
          <w:sz w:val="24"/>
          <w:szCs w:val="24"/>
        </w:rPr>
        <w:t xml:space="preserve">ustawy </w:t>
      </w:r>
      <w:r w:rsidRPr="001C675E">
        <w:rPr>
          <w:color w:val="auto"/>
          <w:sz w:val="24"/>
          <w:szCs w:val="24"/>
        </w:rPr>
        <w:t>OZE, krajowy punkt kontaktowy odmówi udzielenia informacji</w:t>
      </w:r>
      <w:r w:rsidR="00742167" w:rsidRPr="001C675E">
        <w:rPr>
          <w:color w:val="auto"/>
          <w:sz w:val="24"/>
          <w:szCs w:val="24"/>
        </w:rPr>
        <w:t>,</w:t>
      </w:r>
      <w:r w:rsidRPr="001C675E">
        <w:rPr>
          <w:color w:val="auto"/>
          <w:sz w:val="24"/>
          <w:szCs w:val="24"/>
        </w:rPr>
        <w:t xml:space="preserve"> gdy pytanie dotyczy postępowania administracyjnego w konkretnej, indywidualnej sprawie. </w:t>
      </w:r>
      <w:r w:rsidR="00742167" w:rsidRPr="001C675E">
        <w:rPr>
          <w:color w:val="auto"/>
          <w:sz w:val="24"/>
          <w:szCs w:val="24"/>
        </w:rPr>
        <w:t>Krajowy p</w:t>
      </w:r>
      <w:r w:rsidRPr="001C675E">
        <w:rPr>
          <w:color w:val="auto"/>
          <w:sz w:val="24"/>
          <w:szCs w:val="24"/>
        </w:rPr>
        <w:t>rzepis dopuszczający odmowę udzielenia informacji, w sytuacji gdy art. 16 ust. 2 dyrektywy 2018/2001 nakazuje informacje udzielać, może zostać uznan</w:t>
      </w:r>
      <w:r w:rsidR="00742167" w:rsidRPr="001C675E">
        <w:rPr>
          <w:color w:val="auto"/>
          <w:sz w:val="24"/>
          <w:szCs w:val="24"/>
        </w:rPr>
        <w:t>y</w:t>
      </w:r>
      <w:r w:rsidRPr="001C675E">
        <w:rPr>
          <w:color w:val="auto"/>
          <w:sz w:val="24"/>
          <w:szCs w:val="24"/>
        </w:rPr>
        <w:t xml:space="preserve"> za niezgodny z </w:t>
      </w:r>
      <w:r w:rsidR="00742167" w:rsidRPr="001C675E">
        <w:rPr>
          <w:color w:val="auto"/>
          <w:sz w:val="24"/>
          <w:szCs w:val="24"/>
        </w:rPr>
        <w:t xml:space="preserve">tą dyrektywą. </w:t>
      </w:r>
      <w:r w:rsidRPr="001C675E">
        <w:rPr>
          <w:color w:val="auto"/>
          <w:sz w:val="24"/>
          <w:szCs w:val="24"/>
        </w:rPr>
        <w:t xml:space="preserve">Jeżeli projektodawca przewiduje sytuacje, w których </w:t>
      </w:r>
      <w:r w:rsidR="00742167" w:rsidRPr="001C675E">
        <w:rPr>
          <w:color w:val="auto"/>
          <w:sz w:val="24"/>
          <w:szCs w:val="24"/>
        </w:rPr>
        <w:t xml:space="preserve">niezbędne </w:t>
      </w:r>
      <w:r w:rsidR="00526A67" w:rsidRPr="001C675E">
        <w:rPr>
          <w:color w:val="auto"/>
          <w:sz w:val="24"/>
          <w:szCs w:val="24"/>
        </w:rPr>
        <w:t xml:space="preserve">stanie się </w:t>
      </w:r>
      <w:r w:rsidRPr="001C675E">
        <w:rPr>
          <w:color w:val="auto"/>
          <w:sz w:val="24"/>
          <w:szCs w:val="24"/>
        </w:rPr>
        <w:t xml:space="preserve">odmówienie udzielenia informacji, konieczne jest </w:t>
      </w:r>
      <w:r w:rsidR="00526A67" w:rsidRPr="001C675E">
        <w:rPr>
          <w:color w:val="auto"/>
          <w:sz w:val="24"/>
          <w:szCs w:val="24"/>
        </w:rPr>
        <w:t xml:space="preserve">potraktowanie takich sytuacji, jako wyjątków, a ponadto </w:t>
      </w:r>
      <w:r w:rsidR="00742167" w:rsidRPr="001C675E">
        <w:rPr>
          <w:color w:val="auto"/>
          <w:sz w:val="24"/>
          <w:szCs w:val="24"/>
        </w:rPr>
        <w:t>szczegółowe uzasadnienie takiej potrzeby</w:t>
      </w:r>
      <w:r w:rsidR="00526A67" w:rsidRPr="001C675E">
        <w:rPr>
          <w:color w:val="auto"/>
          <w:sz w:val="24"/>
          <w:szCs w:val="24"/>
        </w:rPr>
        <w:t xml:space="preserve"> oraz </w:t>
      </w:r>
      <w:r w:rsidR="00742167" w:rsidRPr="001C675E">
        <w:rPr>
          <w:color w:val="auto"/>
          <w:sz w:val="24"/>
          <w:szCs w:val="24"/>
        </w:rPr>
        <w:t>ustanowienie</w:t>
      </w:r>
      <w:r w:rsidRPr="001C675E">
        <w:rPr>
          <w:color w:val="auto"/>
          <w:sz w:val="24"/>
          <w:szCs w:val="24"/>
        </w:rPr>
        <w:t xml:space="preserve"> </w:t>
      </w:r>
      <w:r w:rsidR="00742167" w:rsidRPr="001C675E">
        <w:rPr>
          <w:color w:val="auto"/>
          <w:sz w:val="24"/>
          <w:szCs w:val="24"/>
        </w:rPr>
        <w:t xml:space="preserve">przepisów pozwalających wnioskodawcy na </w:t>
      </w:r>
      <w:r w:rsidR="00DE6AC4" w:rsidRPr="001C675E">
        <w:rPr>
          <w:color w:val="auto"/>
          <w:sz w:val="24"/>
          <w:szCs w:val="24"/>
        </w:rPr>
        <w:t xml:space="preserve">skuteczne </w:t>
      </w:r>
      <w:r w:rsidR="00742167" w:rsidRPr="001C675E">
        <w:rPr>
          <w:color w:val="auto"/>
          <w:sz w:val="24"/>
          <w:szCs w:val="24"/>
        </w:rPr>
        <w:t xml:space="preserve">zakwestionowanie udzielonej odmowy. Przepisy te powinny być </w:t>
      </w:r>
      <w:r w:rsidR="00526A67" w:rsidRPr="001C675E">
        <w:rPr>
          <w:color w:val="auto"/>
          <w:sz w:val="24"/>
          <w:szCs w:val="24"/>
        </w:rPr>
        <w:t xml:space="preserve">ponadto </w:t>
      </w:r>
      <w:r w:rsidR="00742167" w:rsidRPr="001C675E">
        <w:rPr>
          <w:color w:val="auto"/>
          <w:sz w:val="24"/>
          <w:szCs w:val="24"/>
        </w:rPr>
        <w:t>przejrzyste, tymczasem w sytuacji, gdy</w:t>
      </w:r>
      <w:r w:rsidR="00526A67" w:rsidRPr="001C675E">
        <w:rPr>
          <w:color w:val="auto"/>
          <w:sz w:val="24"/>
          <w:szCs w:val="24"/>
        </w:rPr>
        <w:t> </w:t>
      </w:r>
      <w:r w:rsidR="00742167" w:rsidRPr="001C675E">
        <w:rPr>
          <w:color w:val="auto"/>
          <w:sz w:val="24"/>
          <w:szCs w:val="24"/>
        </w:rPr>
        <w:t xml:space="preserve">projektodawca wskazuje, że nie stosuje się przepisów kodeksu postępowania administracyjnego, ale </w:t>
      </w:r>
      <w:r w:rsidR="00742167" w:rsidRPr="001C675E">
        <w:rPr>
          <w:color w:val="auto"/>
          <w:sz w:val="24"/>
          <w:szCs w:val="24"/>
        </w:rPr>
        <w:lastRenderedPageBreak/>
        <w:t>równocześnie nie wskazuje, jakie przepisy maj</w:t>
      </w:r>
      <w:r w:rsidR="00DE6AC4" w:rsidRPr="001C675E">
        <w:rPr>
          <w:color w:val="auto"/>
          <w:sz w:val="24"/>
          <w:szCs w:val="24"/>
        </w:rPr>
        <w:t>ą</w:t>
      </w:r>
      <w:r w:rsidR="00742167" w:rsidRPr="001C675E">
        <w:rPr>
          <w:color w:val="auto"/>
          <w:sz w:val="24"/>
          <w:szCs w:val="24"/>
        </w:rPr>
        <w:t xml:space="preserve"> zastosowanie, korzystanie przez wnioskodawców z</w:t>
      </w:r>
      <w:r w:rsidR="00526A67" w:rsidRPr="001C675E">
        <w:rPr>
          <w:color w:val="auto"/>
          <w:sz w:val="24"/>
          <w:szCs w:val="24"/>
        </w:rPr>
        <w:t xml:space="preserve"> </w:t>
      </w:r>
      <w:r w:rsidR="00742167" w:rsidRPr="001C675E">
        <w:rPr>
          <w:color w:val="auto"/>
          <w:sz w:val="24"/>
          <w:szCs w:val="24"/>
        </w:rPr>
        <w:t xml:space="preserve">uprawnienia wynikającego z prawa UE może zostać ograniczone. Nie jest </w:t>
      </w:r>
      <w:r w:rsidR="00526A67" w:rsidRPr="001C675E">
        <w:rPr>
          <w:color w:val="auto"/>
          <w:sz w:val="24"/>
          <w:szCs w:val="24"/>
        </w:rPr>
        <w:t xml:space="preserve">też </w:t>
      </w:r>
      <w:r w:rsidR="00742167" w:rsidRPr="001C675E">
        <w:rPr>
          <w:color w:val="auto"/>
          <w:sz w:val="24"/>
          <w:szCs w:val="24"/>
        </w:rPr>
        <w:t xml:space="preserve">zrozumiałe </w:t>
      </w:r>
      <w:r w:rsidR="00742167" w:rsidRPr="001C675E">
        <w:rPr>
          <w:i/>
          <w:color w:val="auto"/>
          <w:sz w:val="24"/>
          <w:szCs w:val="24"/>
        </w:rPr>
        <w:t>ratio legis</w:t>
      </w:r>
      <w:r w:rsidR="00742167" w:rsidRPr="001C675E">
        <w:rPr>
          <w:color w:val="auto"/>
          <w:sz w:val="24"/>
          <w:szCs w:val="24"/>
        </w:rPr>
        <w:t xml:space="preserve"> projektowanego rozwiązania, bowiem wyłącza ono stosowanie przepisów kodeksu postępowania administracyjnego w</w:t>
      </w:r>
      <w:r w:rsidR="00526A67" w:rsidRPr="001C675E">
        <w:rPr>
          <w:color w:val="auto"/>
          <w:sz w:val="24"/>
          <w:szCs w:val="24"/>
        </w:rPr>
        <w:t> </w:t>
      </w:r>
      <w:r w:rsidR="00742167" w:rsidRPr="001C675E">
        <w:rPr>
          <w:color w:val="auto"/>
          <w:sz w:val="24"/>
          <w:szCs w:val="24"/>
        </w:rPr>
        <w:t xml:space="preserve">sytuacji, gdy </w:t>
      </w:r>
      <w:r w:rsidR="00DE6AC4" w:rsidRPr="001C675E">
        <w:rPr>
          <w:color w:val="auto"/>
          <w:sz w:val="24"/>
          <w:szCs w:val="24"/>
        </w:rPr>
        <w:t>wnioskodawca zwraca się o udzielenie informacji, gdy pytanie dotyczy postępowania administracyjnego w konkretnej, indywidualnej sprawie. Tymczasem to właśnie w</w:t>
      </w:r>
      <w:r w:rsidR="00526A67" w:rsidRPr="001C675E">
        <w:rPr>
          <w:color w:val="auto"/>
          <w:sz w:val="24"/>
          <w:szCs w:val="24"/>
        </w:rPr>
        <w:t xml:space="preserve"> indywidualnych i konkretnych sprawach</w:t>
      </w:r>
      <w:r w:rsidR="00DE6AC4" w:rsidRPr="001C675E">
        <w:rPr>
          <w:color w:val="auto"/>
          <w:sz w:val="24"/>
          <w:szCs w:val="24"/>
        </w:rPr>
        <w:t xml:space="preserve">, a nie </w:t>
      </w:r>
      <w:r w:rsidR="00526A67" w:rsidRPr="001C675E">
        <w:rPr>
          <w:color w:val="auto"/>
          <w:sz w:val="24"/>
          <w:szCs w:val="24"/>
        </w:rPr>
        <w:t xml:space="preserve">generalnych i </w:t>
      </w:r>
      <w:r w:rsidR="00DE6AC4" w:rsidRPr="001C675E">
        <w:rPr>
          <w:color w:val="auto"/>
          <w:sz w:val="24"/>
          <w:szCs w:val="24"/>
        </w:rPr>
        <w:t>hipotetycznych, należy oczekiwać pytań ze strony wnioskodawców i udzieleniu odpowiedzi na takie właśnie pytania służą przepisy dotyczące krajowego punktu kontaktowego.</w:t>
      </w:r>
    </w:p>
    <w:p w14:paraId="53936402" w14:textId="321FEE6B" w:rsidR="003A1CF0" w:rsidRPr="001C675E" w:rsidRDefault="003A1CF0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1 pkt 95 projektu</w:t>
      </w:r>
    </w:p>
    <w:p w14:paraId="6275C42E" w14:textId="61A41A9F" w:rsidR="00116C3B" w:rsidRPr="001C675E" w:rsidRDefault="00116C3B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przepis nowelizuje art. 217 ust. 1 ustawy OZE. W tym celu projektowany przepis, zgodnie z art. 6 ust. 4 dyrektywy 2018/2001</w:t>
      </w:r>
      <w:r w:rsidR="0057127F" w:rsidRPr="001C675E">
        <w:rPr>
          <w:color w:val="auto"/>
          <w:sz w:val="24"/>
          <w:szCs w:val="24"/>
        </w:rPr>
        <w:t>,</w:t>
      </w:r>
      <w:r w:rsidRPr="001C675E">
        <w:rPr>
          <w:color w:val="auto"/>
          <w:sz w:val="24"/>
          <w:szCs w:val="24"/>
        </w:rPr>
        <w:t xml:space="preserve"> zastępuje dotychczasowy 3-letni okres, po upływie którego należy dokonać przeglądu, okresem 5-letnim. Projektowany przepis nie wskazuje jednak poprawnie, co ma być przedmiotem przeglądu. Jak wynika z projektowanego przepisu, przegląd ma dotyczyć funkcjonowania mechanizmów i</w:t>
      </w:r>
      <w:r w:rsidR="0057127F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instrumentów wspierających wytwarzanie energii elektrycznej lub ciepła z</w:t>
      </w:r>
      <w:r w:rsidR="0057127F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 xml:space="preserve">odnawialnych źródeł energii oraz wytwarzanie biogazu rolniczego w instalacjach odnawialnego źródła energii. Tymczasem, jak wynika z art. 6 ust. 4 dyrektywy 2018/2001, przegląd ma dotyczyć </w:t>
      </w:r>
      <w:r w:rsidRPr="004E1E8E">
        <w:rPr>
          <w:color w:val="auto"/>
          <w:sz w:val="24"/>
          <w:szCs w:val="24"/>
        </w:rPr>
        <w:t>efektywności krajowych systemów wsparcia na rzecz energii elektrycznej ze źródeł odnawialnych oraz ich głównych skutków dystrybucyjnych dla różnych grup konsumentów, a także dla inwestycji</w:t>
      </w:r>
      <w:r w:rsidRPr="001C675E">
        <w:rPr>
          <w:color w:val="auto"/>
          <w:sz w:val="24"/>
          <w:szCs w:val="24"/>
        </w:rPr>
        <w:t>.</w:t>
      </w:r>
    </w:p>
    <w:p w14:paraId="74D5F7EC" w14:textId="0D4BEC0F" w:rsidR="00DE6AC4" w:rsidRPr="001C675E" w:rsidRDefault="00916F96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W tym miejscu pragnę również zauważyć, że projekt nie zawiera przepisów, które wdrażałyby art. 6 ust. 3 dyrektywy 2018/2001. Zgodnie z tym przepisem, państwa członkowskie publikują długoterminowy harmonogram dotyczący oczekiwanego przydziału wsparcia obejmujący, jako punkt odniesienia, co najmniej pięć kolejnych lat lub – w przypadku ograniczeń budżetowych w planowaniu – kolejne trzy lata, zawierający orientacyjne terminy, w odpowiednich przypadkach częstotliwość postępowań o udzielenie zamówienia, oczekiwaną moc i budżet lub maksymalne jednolite wsparcie, które ma zostać przydzielone, oraz oczekiwane kwalifikujące się technologie, stosownie do przypadku. Harmonogram ten jest aktualizowany corocznie lub, w razie konieczności, w celu uwzględnienia zmiany sytuacji na rynku lub oczekiwanego przydziału wsparcia.</w:t>
      </w:r>
      <w:bookmarkStart w:id="16" w:name="highlightHit_1718"/>
      <w:bookmarkStart w:id="17" w:name="highlightHit_1719"/>
      <w:bookmarkStart w:id="18" w:name="highlightHit_1720"/>
      <w:bookmarkStart w:id="19" w:name="highlightHit_1721"/>
      <w:bookmarkStart w:id="20" w:name="highlightHit_1722"/>
      <w:bookmarkStart w:id="21" w:name="highlightHit_1723"/>
      <w:bookmarkStart w:id="22" w:name="highlightHit_1724"/>
      <w:bookmarkStart w:id="23" w:name="highlightHit_1725"/>
      <w:bookmarkStart w:id="24" w:name="highlightHit_1726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60669D0" w14:textId="4E4817B7" w:rsidR="009B13A9" w:rsidRPr="001C675E" w:rsidRDefault="009B13A9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4 pkt 1 lit</w:t>
      </w:r>
      <w:r w:rsidR="004E1E8E">
        <w:rPr>
          <w:b/>
          <w:color w:val="auto"/>
          <w:sz w:val="24"/>
          <w:szCs w:val="24"/>
        </w:rPr>
        <w:t>.</w:t>
      </w:r>
      <w:r w:rsidRPr="001C675E">
        <w:rPr>
          <w:b/>
          <w:color w:val="auto"/>
          <w:sz w:val="24"/>
          <w:szCs w:val="24"/>
        </w:rPr>
        <w:t xml:space="preserve"> b</w:t>
      </w:r>
      <w:r w:rsidR="0073471A" w:rsidRPr="001C675E">
        <w:rPr>
          <w:b/>
          <w:color w:val="auto"/>
          <w:sz w:val="24"/>
          <w:szCs w:val="24"/>
        </w:rPr>
        <w:t>)</w:t>
      </w:r>
      <w:r w:rsidRPr="001C675E">
        <w:rPr>
          <w:b/>
          <w:color w:val="auto"/>
          <w:sz w:val="24"/>
          <w:szCs w:val="24"/>
        </w:rPr>
        <w:t xml:space="preserve"> projektu</w:t>
      </w:r>
    </w:p>
    <w:p w14:paraId="5F162A1A" w14:textId="44D2E05F" w:rsidR="009B13A9" w:rsidRPr="001C675E" w:rsidRDefault="009B13A9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Projektowany przepis dodaje do art. 3 ustawy – Prawo energetyczne pkt 20i w celu wdrożenia do polskiego porządku prawnego definicji </w:t>
      </w:r>
      <w:r w:rsidR="004E1E8E">
        <w:rPr>
          <w:color w:val="auto"/>
          <w:sz w:val="24"/>
          <w:szCs w:val="24"/>
        </w:rPr>
        <w:t>„</w:t>
      </w:r>
      <w:r w:rsidRPr="001C675E">
        <w:rPr>
          <w:color w:val="auto"/>
          <w:sz w:val="24"/>
          <w:szCs w:val="24"/>
        </w:rPr>
        <w:t>ciepła odpadowego i chłodu odpadowego</w:t>
      </w:r>
      <w:r w:rsidR="00365E6B">
        <w:rPr>
          <w:color w:val="auto"/>
          <w:sz w:val="24"/>
          <w:szCs w:val="24"/>
        </w:rPr>
        <w:t>”</w:t>
      </w:r>
      <w:r w:rsidRPr="001C675E">
        <w:rPr>
          <w:color w:val="auto"/>
          <w:sz w:val="24"/>
          <w:szCs w:val="24"/>
        </w:rPr>
        <w:t>, zawartej w art. 2 pkt 9 dyrektywy 2018/2001.</w:t>
      </w:r>
    </w:p>
    <w:p w14:paraId="705A039B" w14:textId="5EF36A46" w:rsidR="009B13A9" w:rsidRPr="001C675E" w:rsidRDefault="009B13A9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Należy wskazać, że w brzmieniu zaproponowanym w projekcie </w:t>
      </w:r>
      <w:r w:rsidR="00365E6B">
        <w:rPr>
          <w:color w:val="auto"/>
          <w:sz w:val="24"/>
          <w:szCs w:val="24"/>
        </w:rPr>
        <w:t xml:space="preserve">w </w:t>
      </w:r>
      <w:r w:rsidR="00365E6B" w:rsidRPr="001C675E">
        <w:rPr>
          <w:color w:val="auto"/>
          <w:sz w:val="24"/>
          <w:szCs w:val="24"/>
        </w:rPr>
        <w:t xml:space="preserve">definicji </w:t>
      </w:r>
      <w:r w:rsidRPr="001C675E">
        <w:rPr>
          <w:color w:val="auto"/>
          <w:sz w:val="24"/>
          <w:szCs w:val="24"/>
        </w:rPr>
        <w:t>brak jest dookreślenia, że ciepło odpadowe lub chłód odpadowy są wytwarzane „jako produkt uboczny”. Ponadto, w projekcie brak jest wskazania, że brak dostępu do systemu dotyczy także „systemu chłodniczego”. Przedmiotowe wskazania zawarte są natomiast w definicji w art. 2 pkt 9 dyrektywy 2018/2001 i powinny być uzupełnione w projekcie.</w:t>
      </w:r>
    </w:p>
    <w:p w14:paraId="18E2F663" w14:textId="75BF9D37" w:rsidR="009B13A9" w:rsidRDefault="00E3695B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Projektowany</w:t>
      </w:r>
      <w:r w:rsidR="009B13A9" w:rsidRPr="001C675E">
        <w:rPr>
          <w:color w:val="auto"/>
          <w:sz w:val="24"/>
          <w:szCs w:val="24"/>
        </w:rPr>
        <w:t xml:space="preserve"> art. 3 pkt 20i ustawy – Prawo energetyczne wskazany również został jako wdrażający art. 15 ust. 3 dyrektywy 2018/2001. Wyjaśnienia w tym zakresie wymaga, w jaki sposób i w jakim zakresie ww. definicyjny </w:t>
      </w:r>
      <w:r>
        <w:rPr>
          <w:color w:val="auto"/>
          <w:sz w:val="24"/>
          <w:szCs w:val="24"/>
        </w:rPr>
        <w:t>przepis</w:t>
      </w:r>
      <w:r w:rsidR="009B13A9" w:rsidRPr="001C675E">
        <w:rPr>
          <w:color w:val="auto"/>
          <w:sz w:val="24"/>
          <w:szCs w:val="24"/>
        </w:rPr>
        <w:t xml:space="preserve"> wdraża do polskiego prawa przepis odnoszący się do procedur administracyjnych, przepis</w:t>
      </w:r>
      <w:r w:rsidR="0073471A" w:rsidRPr="001C675E">
        <w:rPr>
          <w:color w:val="auto"/>
          <w:sz w:val="24"/>
          <w:szCs w:val="24"/>
        </w:rPr>
        <w:t>ów i kodeksów.</w:t>
      </w:r>
    </w:p>
    <w:p w14:paraId="52FF3DD1" w14:textId="77777777" w:rsidR="00F06AAE" w:rsidRPr="001C675E" w:rsidRDefault="00F06AAE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</w:p>
    <w:p w14:paraId="3C7046E0" w14:textId="3E072023" w:rsidR="009B13A9" w:rsidRPr="001C675E" w:rsidRDefault="00E1329D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lastRenderedPageBreak/>
        <w:t>A</w:t>
      </w:r>
      <w:r w:rsidR="009B13A9" w:rsidRPr="001C675E">
        <w:rPr>
          <w:b/>
          <w:color w:val="auto"/>
          <w:sz w:val="24"/>
          <w:szCs w:val="24"/>
        </w:rPr>
        <w:t>rt. 4 pkt 6 lit. c</w:t>
      </w:r>
      <w:r w:rsidR="0073471A" w:rsidRPr="001C675E">
        <w:rPr>
          <w:b/>
          <w:color w:val="auto"/>
          <w:sz w:val="24"/>
          <w:szCs w:val="24"/>
        </w:rPr>
        <w:t>)</w:t>
      </w:r>
      <w:r w:rsidR="009B13A9" w:rsidRPr="001C675E">
        <w:rPr>
          <w:b/>
          <w:color w:val="auto"/>
          <w:sz w:val="24"/>
          <w:szCs w:val="24"/>
        </w:rPr>
        <w:t xml:space="preserve"> projektu</w:t>
      </w:r>
    </w:p>
    <w:p w14:paraId="5287EB8B" w14:textId="1672DF28" w:rsidR="00A11118" w:rsidRPr="001C675E" w:rsidRDefault="004619C2" w:rsidP="001C675E">
      <w:pPr>
        <w:pStyle w:val="Akapitzlist"/>
        <w:numPr>
          <w:ilvl w:val="0"/>
          <w:numId w:val="39"/>
        </w:numPr>
        <w:tabs>
          <w:tab w:val="left" w:pos="7020"/>
        </w:tabs>
        <w:spacing w:after="120" w:line="240" w:lineRule="auto"/>
        <w:ind w:left="851" w:hanging="284"/>
        <w:contextualSpacing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</w:t>
      </w:r>
      <w:r w:rsidR="00A11118" w:rsidRPr="001C675E">
        <w:rPr>
          <w:color w:val="auto"/>
          <w:sz w:val="24"/>
          <w:szCs w:val="24"/>
        </w:rPr>
        <w:t>rzepis zakłada dodanie do art. 7b ustawy – Prawo energetyczne ust. 3e. Zgodnie z informacją zawartą w tabeli zgodności przepis ten ma na celu wdrożenie do polskiego prawa art. 24 ust. 1 dyrektywy 2018/2001, zgodnie z którym państwa członkowskie zapewniają, aby odbiorcy końcowi otrzymywali – w łatwo dostępny sposób, na przykład na stronach internetowych dostawców lub w rozliczeniach rocznych, lub na żądanie – informacje na temat efektywności energetycznej i udziału energii odnawialnej w ich systemach ciepłowniczych i chłodniczych.</w:t>
      </w:r>
    </w:p>
    <w:p w14:paraId="600BD0F3" w14:textId="6B582801" w:rsidR="00A11118" w:rsidRPr="001C675E" w:rsidRDefault="00A11118" w:rsidP="001C675E">
      <w:pPr>
        <w:spacing w:after="120" w:line="240" w:lineRule="auto"/>
        <w:ind w:left="851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Projektowany art. 7b ust. 3e ustawy – Prawo energetyczne nie zapewnia jednak realizacji tego prawa, a zatem nie wdraża wskazanego przepisu dyrektywy 2018/2001. Zamiast prawa do uzyskania informacji projektowany przepis odnosi się do prawa do odłączenia się od systemów ciepłowniczych lub chłodniczych, co zostało wskazane w poniższej uwadze.</w:t>
      </w:r>
    </w:p>
    <w:p w14:paraId="3A5BE02F" w14:textId="39D8B9E1" w:rsidR="009B13A9" w:rsidRPr="001C675E" w:rsidRDefault="00A11118" w:rsidP="001C675E">
      <w:pPr>
        <w:pStyle w:val="Akapitzlist"/>
        <w:spacing w:after="120" w:line="240" w:lineRule="auto"/>
        <w:ind w:left="851" w:hanging="284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b)</w:t>
      </w:r>
      <w:r w:rsidRPr="001C675E">
        <w:rPr>
          <w:color w:val="auto"/>
          <w:sz w:val="24"/>
          <w:szCs w:val="24"/>
        </w:rPr>
        <w:tab/>
      </w:r>
      <w:r w:rsidR="004619C2">
        <w:rPr>
          <w:color w:val="auto"/>
          <w:sz w:val="24"/>
          <w:szCs w:val="24"/>
        </w:rPr>
        <w:t xml:space="preserve">Powyższy </w:t>
      </w:r>
      <w:r w:rsidR="009B13A9" w:rsidRPr="001C675E">
        <w:rPr>
          <w:color w:val="auto"/>
          <w:sz w:val="24"/>
          <w:szCs w:val="24"/>
        </w:rPr>
        <w:t xml:space="preserve">przepis zakłada </w:t>
      </w:r>
      <w:r w:rsidRPr="001C675E">
        <w:rPr>
          <w:color w:val="auto"/>
          <w:sz w:val="24"/>
          <w:szCs w:val="24"/>
        </w:rPr>
        <w:t xml:space="preserve">ponadto </w:t>
      </w:r>
      <w:r w:rsidR="009B13A9" w:rsidRPr="001C675E">
        <w:rPr>
          <w:color w:val="auto"/>
          <w:sz w:val="24"/>
          <w:szCs w:val="24"/>
        </w:rPr>
        <w:t xml:space="preserve">dodanie </w:t>
      </w:r>
      <w:r w:rsidR="0073471A" w:rsidRPr="001C675E">
        <w:rPr>
          <w:color w:val="auto"/>
          <w:sz w:val="24"/>
          <w:szCs w:val="24"/>
        </w:rPr>
        <w:t>do art.</w:t>
      </w:r>
      <w:r w:rsidR="009B13A9" w:rsidRPr="001C675E">
        <w:rPr>
          <w:color w:val="auto"/>
          <w:sz w:val="24"/>
          <w:szCs w:val="24"/>
        </w:rPr>
        <w:t xml:space="preserve"> 7b </w:t>
      </w:r>
      <w:r w:rsidR="0073471A" w:rsidRPr="001C675E">
        <w:rPr>
          <w:color w:val="auto"/>
          <w:sz w:val="24"/>
          <w:szCs w:val="24"/>
        </w:rPr>
        <w:t xml:space="preserve">ustawy – Prawo energetyczne </w:t>
      </w:r>
      <w:r w:rsidR="00A5575A" w:rsidRPr="001C675E">
        <w:rPr>
          <w:color w:val="auto"/>
          <w:sz w:val="24"/>
          <w:szCs w:val="24"/>
        </w:rPr>
        <w:t>ust. 3e</w:t>
      </w:r>
      <w:r w:rsidR="009B13A9" w:rsidRPr="001C675E">
        <w:rPr>
          <w:color w:val="auto"/>
          <w:sz w:val="24"/>
          <w:szCs w:val="24"/>
        </w:rPr>
        <w:t xml:space="preserve">-3g. </w:t>
      </w:r>
      <w:r w:rsidR="0073471A" w:rsidRPr="001C675E">
        <w:rPr>
          <w:color w:val="auto"/>
          <w:sz w:val="24"/>
          <w:szCs w:val="24"/>
        </w:rPr>
        <w:t>Przepisy te mają na celu wdrożenie do polskiego prawa art. 24 ust. 2 dyrektywy 2018/2001</w:t>
      </w:r>
      <w:r w:rsidR="00E1329D" w:rsidRPr="001C675E">
        <w:rPr>
          <w:color w:val="auto"/>
          <w:sz w:val="24"/>
          <w:szCs w:val="24"/>
        </w:rPr>
        <w:t>.</w:t>
      </w:r>
    </w:p>
    <w:p w14:paraId="71B4389F" w14:textId="0987A8A6" w:rsidR="009B13A9" w:rsidRPr="001C675E" w:rsidRDefault="009B13A9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Art. 24 ust. 2 dyrektywy 2018/2001 stanowi, że</w:t>
      </w:r>
      <w:r w:rsidR="00E1329D" w:rsidRPr="001C675E">
        <w:rPr>
          <w:color w:val="auto"/>
          <w:sz w:val="24"/>
          <w:szCs w:val="24"/>
        </w:rPr>
        <w:t xml:space="preserve"> p</w:t>
      </w:r>
      <w:r w:rsidRPr="001C675E">
        <w:rPr>
          <w:color w:val="auto"/>
          <w:sz w:val="24"/>
          <w:szCs w:val="24"/>
        </w:rPr>
        <w:t>aństwa członkowskie ustanawiają niezbędne środki i warunki umożliwiające odbiorcom systemów ciepłowniczych i</w:t>
      </w:r>
      <w:r w:rsidR="00A5575A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chłodniczych, które nie są efektywnymi systemami ciepłowniczymi i chłodniczymi lub które nie staną się takimi systemami do dnia 31 grudnia 2025 r. w oparciu o plan zatwierdzony przez właściwy organ, odłączenie się od takiego systemu poprzez zakończenie lub zmianę umowy w celu samodzielnej produkcji ciepła lub chłodu z</w:t>
      </w:r>
      <w:r w:rsidR="00A5575A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 xml:space="preserve">wykorzystaniem źródeł odnawialnych. </w:t>
      </w:r>
    </w:p>
    <w:p w14:paraId="29ED2BE4" w14:textId="77777777" w:rsidR="009B13A9" w:rsidRPr="001C675E" w:rsidRDefault="009B13A9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W przypadku gdy zakończenie umowy wiąże się z fizycznym odłączeniem, takie zakończenie może być uzależnione od odszkodowania za koszty poniesione bezpośrednio z powodu fizycznego odłączenia oraz za niezamortyzowaną część aktywów koniecznych do dostarczenia ciepła i chłodu do danego odbiorcy.</w:t>
      </w:r>
    </w:p>
    <w:p w14:paraId="0C89C2A9" w14:textId="740C764F" w:rsidR="009B13A9" w:rsidRPr="001C675E" w:rsidRDefault="009B13A9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Z powyższego wynika, że dyrektywa </w:t>
      </w:r>
      <w:r w:rsidR="00E1329D" w:rsidRPr="001C675E">
        <w:rPr>
          <w:color w:val="auto"/>
          <w:sz w:val="24"/>
          <w:szCs w:val="24"/>
        </w:rPr>
        <w:t xml:space="preserve">2018/2001 </w:t>
      </w:r>
      <w:r w:rsidRPr="001C675E">
        <w:rPr>
          <w:color w:val="auto"/>
          <w:sz w:val="24"/>
          <w:szCs w:val="24"/>
        </w:rPr>
        <w:t>ogranicza możliwość obciążania kosztami za odłączenie od systemów ciepłowniczych i chłodniczych do:</w:t>
      </w:r>
    </w:p>
    <w:p w14:paraId="1BFD9301" w14:textId="7DE4807F" w:rsidR="009B13A9" w:rsidRPr="001C675E" w:rsidRDefault="009B13A9" w:rsidP="001C675E">
      <w:pPr>
        <w:pStyle w:val="Akapitzlist"/>
        <w:numPr>
          <w:ilvl w:val="0"/>
          <w:numId w:val="36"/>
        </w:numPr>
        <w:spacing w:after="120" w:line="240" w:lineRule="auto"/>
        <w:ind w:left="1134" w:hanging="283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sytuacji, w których odłączenie od nich wiąże się z fizycznym odłączeniem;</w:t>
      </w:r>
    </w:p>
    <w:p w14:paraId="69FD5D62" w14:textId="7006CF07" w:rsidR="009B13A9" w:rsidRPr="001C675E" w:rsidRDefault="009B13A9" w:rsidP="001C675E">
      <w:pPr>
        <w:pStyle w:val="Akapitzlist"/>
        <w:numPr>
          <w:ilvl w:val="0"/>
          <w:numId w:val="36"/>
        </w:numPr>
        <w:spacing w:after="120" w:line="240" w:lineRule="auto"/>
        <w:ind w:left="1134" w:hanging="283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kosztów poniesionych bezpośrednio z powodu fizycznego odłączenia;</w:t>
      </w:r>
    </w:p>
    <w:p w14:paraId="37F47881" w14:textId="15BA7323" w:rsidR="009B13A9" w:rsidRPr="001C675E" w:rsidRDefault="009B13A9" w:rsidP="001C675E">
      <w:pPr>
        <w:pStyle w:val="Akapitzlist"/>
        <w:numPr>
          <w:ilvl w:val="0"/>
          <w:numId w:val="36"/>
        </w:numPr>
        <w:spacing w:after="120" w:line="240" w:lineRule="auto"/>
        <w:ind w:left="1134" w:hanging="283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kosztów za niezamortyzowaną część </w:t>
      </w:r>
      <w:r w:rsidRPr="004619C2">
        <w:rPr>
          <w:i/>
          <w:color w:val="auto"/>
          <w:sz w:val="24"/>
          <w:szCs w:val="24"/>
        </w:rPr>
        <w:t>aktywów koniecznych</w:t>
      </w:r>
      <w:r w:rsidRPr="001C675E">
        <w:rPr>
          <w:color w:val="auto"/>
          <w:sz w:val="24"/>
          <w:szCs w:val="24"/>
        </w:rPr>
        <w:t xml:space="preserve"> do dostarczenia ciepła i</w:t>
      </w:r>
      <w:r w:rsidR="00E1329D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chłodu do danego odbiorcy.</w:t>
      </w:r>
    </w:p>
    <w:p w14:paraId="308FD50E" w14:textId="77777777" w:rsidR="009B13A9" w:rsidRPr="001C675E" w:rsidRDefault="009B13A9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Z projektu w obecnym brzemieniu wynika natomiast, że:</w:t>
      </w:r>
    </w:p>
    <w:p w14:paraId="18ED46D1" w14:textId="3A1E691C" w:rsidR="009B13A9" w:rsidRPr="001C675E" w:rsidRDefault="009B13A9" w:rsidP="001C675E">
      <w:pPr>
        <w:pStyle w:val="Akapitzlist"/>
        <w:numPr>
          <w:ilvl w:val="0"/>
          <w:numId w:val="37"/>
        </w:numPr>
        <w:spacing w:after="120" w:line="240" w:lineRule="auto"/>
        <w:ind w:left="1134" w:hanging="283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możliwe jest obciążenie kosztami likwidacji elementów sieci ciepłowniczej, jeżeli ich utrzymywanie może prowadzić do znaczącego pogorszenia warunków technicznych i charakterystyki funkcjonowania systemu ciepłowniczego (…);</w:t>
      </w:r>
    </w:p>
    <w:p w14:paraId="61C27366" w14:textId="030A609C" w:rsidR="009B13A9" w:rsidRPr="001C675E" w:rsidRDefault="009B13A9" w:rsidP="001C675E">
      <w:pPr>
        <w:pStyle w:val="Akapitzlist"/>
        <w:numPr>
          <w:ilvl w:val="0"/>
          <w:numId w:val="37"/>
        </w:numPr>
        <w:spacing w:after="120" w:line="240" w:lineRule="auto"/>
        <w:ind w:left="1134" w:hanging="283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obowiązek zwrotu przedsiębiorstwu energetycznemu kosztu niezamortyzowanej części rzeczywistych </w:t>
      </w:r>
      <w:r w:rsidRPr="004619C2">
        <w:rPr>
          <w:i/>
          <w:color w:val="auto"/>
          <w:sz w:val="24"/>
          <w:szCs w:val="24"/>
        </w:rPr>
        <w:t>nakładów poniesionych</w:t>
      </w:r>
      <w:r w:rsidRPr="001C675E">
        <w:rPr>
          <w:color w:val="auto"/>
          <w:sz w:val="24"/>
          <w:szCs w:val="24"/>
        </w:rPr>
        <w:t xml:space="preserve"> na realizację przyłączenia, proporcjonalnie do czasu pozostałego do końca tego okresu, na zasadach określonych w umowie </w:t>
      </w:r>
      <w:r w:rsidR="00A5575A" w:rsidRPr="001C675E">
        <w:rPr>
          <w:color w:val="auto"/>
          <w:sz w:val="24"/>
          <w:szCs w:val="24"/>
        </w:rPr>
        <w:t>–</w:t>
      </w:r>
      <w:r w:rsidRPr="001C675E">
        <w:rPr>
          <w:color w:val="auto"/>
          <w:sz w:val="24"/>
          <w:szCs w:val="24"/>
        </w:rPr>
        <w:t xml:space="preserve"> jeżeli odbiorca zaprzestaje zakupu ciepła </w:t>
      </w:r>
      <w:r w:rsidRPr="004619C2">
        <w:rPr>
          <w:i/>
          <w:color w:val="auto"/>
          <w:sz w:val="24"/>
          <w:szCs w:val="24"/>
        </w:rPr>
        <w:t>przed upływem okresu niezbędnego do zachowania  ekonomicznych warunków przyłączenia</w:t>
      </w:r>
      <w:r w:rsidRPr="001C675E">
        <w:rPr>
          <w:color w:val="auto"/>
          <w:sz w:val="24"/>
          <w:szCs w:val="24"/>
        </w:rPr>
        <w:t>.</w:t>
      </w:r>
    </w:p>
    <w:p w14:paraId="438D33BF" w14:textId="739BE10D" w:rsidR="009B13A9" w:rsidRPr="001C675E" w:rsidRDefault="00067DCC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</w:t>
      </w:r>
      <w:r w:rsidR="009B13A9" w:rsidRPr="001C675E">
        <w:rPr>
          <w:color w:val="auto"/>
          <w:sz w:val="24"/>
          <w:szCs w:val="24"/>
        </w:rPr>
        <w:t xml:space="preserve">rojekt powinien ograniczać </w:t>
      </w:r>
      <w:r w:rsidR="00A5575A" w:rsidRPr="001C675E">
        <w:rPr>
          <w:color w:val="auto"/>
          <w:sz w:val="24"/>
          <w:szCs w:val="24"/>
        </w:rPr>
        <w:t xml:space="preserve">możliwość obciążania kosztami za odłączenie </w:t>
      </w:r>
      <w:r w:rsidR="009B13A9" w:rsidRPr="001C675E">
        <w:rPr>
          <w:color w:val="auto"/>
          <w:sz w:val="24"/>
          <w:szCs w:val="24"/>
        </w:rPr>
        <w:t xml:space="preserve">do kosztów poniesionych bezpośrednio z powodu fizycznego odłączenia oraz do kosztów za niezamortyzowaną część aktywów koniecznych do dostarczenia ciepła </w:t>
      </w:r>
      <w:r w:rsidR="009B13A9" w:rsidRPr="001C675E">
        <w:rPr>
          <w:color w:val="auto"/>
          <w:sz w:val="24"/>
          <w:szCs w:val="24"/>
        </w:rPr>
        <w:lastRenderedPageBreak/>
        <w:t>i</w:t>
      </w:r>
      <w:r w:rsidRPr="001C675E">
        <w:rPr>
          <w:color w:val="auto"/>
          <w:sz w:val="24"/>
          <w:szCs w:val="24"/>
        </w:rPr>
        <w:t> </w:t>
      </w:r>
      <w:r w:rsidR="009B13A9" w:rsidRPr="001C675E">
        <w:rPr>
          <w:color w:val="auto"/>
          <w:sz w:val="24"/>
          <w:szCs w:val="24"/>
        </w:rPr>
        <w:t>chłodu do danego odbiorcy (nie rozszerzając ich na inne nakłady poniesione na realizację przyłączenia).</w:t>
      </w:r>
    </w:p>
    <w:p w14:paraId="74E5D6A8" w14:textId="2D0A6EF7" w:rsidR="009B13A9" w:rsidRPr="001C675E" w:rsidRDefault="009B13A9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Ponadto, za niewystarczająco jasny należy uznać ww. warunek upływu (lub jego braku) „okresu niezbędnego do zachowania ekonomicznych warunków przyłączenia”, niezależnie od odniesienia się w projekcie do zasad określonych w</w:t>
      </w:r>
      <w:r w:rsidR="00067DCC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umowie z odbiorcą.</w:t>
      </w:r>
      <w:r w:rsidR="001E3838">
        <w:rPr>
          <w:color w:val="auto"/>
          <w:sz w:val="24"/>
          <w:szCs w:val="24"/>
        </w:rPr>
        <w:t xml:space="preserve"> </w:t>
      </w:r>
      <w:r w:rsidRPr="001C675E">
        <w:rPr>
          <w:color w:val="auto"/>
          <w:sz w:val="24"/>
          <w:szCs w:val="24"/>
        </w:rPr>
        <w:t>Powyższe wynika w szczególności z faktu, że przedmiotowy przepis wiąże się z</w:t>
      </w:r>
      <w:r w:rsidR="00E1329D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powstaniem zobowiązania po stronie odbiorcy, który zaprzestaje zakupu ciepła, zgodnie z uprawnieniami wynikającymi</w:t>
      </w:r>
      <w:r w:rsidR="00E1329D" w:rsidRPr="001C675E">
        <w:rPr>
          <w:color w:val="auto"/>
          <w:sz w:val="24"/>
          <w:szCs w:val="24"/>
        </w:rPr>
        <w:t xml:space="preserve"> z art. 24 dyrektywy 2018/2001.</w:t>
      </w:r>
    </w:p>
    <w:p w14:paraId="3068D941" w14:textId="7A6BDD6E" w:rsidR="009B13A9" w:rsidRPr="001C675E" w:rsidRDefault="009B13A9" w:rsidP="001C675E">
      <w:pPr>
        <w:pStyle w:val="Akapitzlist"/>
        <w:spacing w:after="120" w:line="240" w:lineRule="auto"/>
        <w:ind w:left="851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Prawidłowe i jasne określenie kosztów odłączenia oraz wskazanie</w:t>
      </w:r>
      <w:r w:rsidR="00E1329D" w:rsidRPr="001C675E">
        <w:rPr>
          <w:color w:val="auto"/>
          <w:sz w:val="24"/>
          <w:szCs w:val="24"/>
        </w:rPr>
        <w:t>,</w:t>
      </w:r>
      <w:r w:rsidRPr="001C675E">
        <w:rPr>
          <w:color w:val="auto"/>
          <w:sz w:val="24"/>
          <w:szCs w:val="24"/>
        </w:rPr>
        <w:t xml:space="preserve"> kiedy mają zastosowanie, jest niezbędne do zapewnienia, aby w praktyce nie utrudniać lub nie uniemożliwiać korzystania z uprawnienia wynikającego z art. 24 dyrektywy 2018/2001.</w:t>
      </w:r>
    </w:p>
    <w:p w14:paraId="19A42519" w14:textId="1DC4155F" w:rsidR="009B13A9" w:rsidRPr="001C675E" w:rsidRDefault="00E1329D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</w:t>
      </w:r>
      <w:r w:rsidR="009B13A9" w:rsidRPr="001C675E">
        <w:rPr>
          <w:b/>
          <w:color w:val="auto"/>
          <w:sz w:val="24"/>
          <w:szCs w:val="24"/>
        </w:rPr>
        <w:t>. 7 ust. 9 projektu</w:t>
      </w:r>
    </w:p>
    <w:p w14:paraId="492FED00" w14:textId="5C9407CC" w:rsidR="009B13A9" w:rsidRPr="005247B7" w:rsidRDefault="009B13A9" w:rsidP="001C675E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247B7">
        <w:rPr>
          <w:rFonts w:asciiTheme="minorHAnsi" w:hAnsiTheme="minorHAnsi" w:cstheme="minorHAnsi"/>
          <w:color w:val="auto"/>
          <w:sz w:val="24"/>
          <w:szCs w:val="24"/>
        </w:rPr>
        <w:t>Art. 24 ust. 2 dyrektywy 2018/2001 przewiduje obowiązek umożliwienia odbiorcom systemów ciepłowniczych i chłodniczych, które nie są efektywnymi systemami ciepłowniczymi i chłodniczymi</w:t>
      </w:r>
      <w:r w:rsidR="00E1329D" w:rsidRPr="005247B7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247B7">
        <w:rPr>
          <w:rFonts w:asciiTheme="minorHAnsi" w:hAnsiTheme="minorHAnsi" w:cstheme="minorHAnsi"/>
          <w:color w:val="auto"/>
          <w:sz w:val="24"/>
          <w:szCs w:val="24"/>
        </w:rPr>
        <w:t xml:space="preserve"> lub które nie staną się takimi systemami do dnia 31 grudnia 2025 w oparciu o plan zatwierdzony przez właściwy organ, odłączenia się od takiego systemu.</w:t>
      </w:r>
    </w:p>
    <w:p w14:paraId="1050DEF2" w14:textId="2C8879A6" w:rsidR="009B13A9" w:rsidRPr="005247B7" w:rsidRDefault="009B13A9" w:rsidP="001C675E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247B7">
        <w:rPr>
          <w:rFonts w:asciiTheme="minorHAnsi" w:hAnsiTheme="minorHAnsi" w:cstheme="minorHAnsi"/>
          <w:color w:val="auto"/>
          <w:sz w:val="24"/>
          <w:szCs w:val="24"/>
        </w:rPr>
        <w:t>Art. 7 ust. 1 projektu wskazuje przesłanki uznania systemu ciepłowniczego za efektywny energetyc</w:t>
      </w:r>
      <w:r w:rsidR="00CC34EF" w:rsidRPr="005247B7">
        <w:rPr>
          <w:rFonts w:asciiTheme="minorHAnsi" w:hAnsiTheme="minorHAnsi" w:cstheme="minorHAnsi"/>
          <w:color w:val="auto"/>
          <w:sz w:val="24"/>
          <w:szCs w:val="24"/>
        </w:rPr>
        <w:t>znie do dnia 31 grudnia 2025 r.</w:t>
      </w:r>
      <w:r w:rsidR="0055166A" w:rsidRPr="005247B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247B7">
        <w:rPr>
          <w:rFonts w:asciiTheme="minorHAnsi" w:hAnsiTheme="minorHAnsi" w:cstheme="minorHAnsi"/>
          <w:color w:val="auto"/>
          <w:sz w:val="24"/>
          <w:szCs w:val="24"/>
        </w:rPr>
        <w:t>Natomiast u</w:t>
      </w:r>
      <w:r w:rsidR="00DD58AC" w:rsidRPr="005247B7">
        <w:rPr>
          <w:rFonts w:asciiTheme="minorHAnsi" w:hAnsiTheme="minorHAnsi" w:cstheme="minorHAnsi"/>
          <w:color w:val="auto"/>
          <w:sz w:val="24"/>
          <w:szCs w:val="24"/>
        </w:rPr>
        <w:t>st. 9 tego przepisu dodaje, że</w:t>
      </w:r>
      <w:r w:rsidR="00C64FD3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DD58AC" w:rsidRPr="005247B7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5247B7">
        <w:rPr>
          <w:rFonts w:asciiTheme="minorHAnsi" w:hAnsiTheme="minorHAnsi" w:cstheme="minorHAnsi"/>
          <w:color w:val="auto"/>
          <w:sz w:val="24"/>
          <w:szCs w:val="24"/>
        </w:rPr>
        <w:t>rzepis ust. 1 stosuje się odpowiednio do dnia wydania przez Prezesa URE decyzji w przedmiocie uzgodnienia planu rozwoju, jeżeli przedsiębiorstwo energetyczne złożyło</w:t>
      </w:r>
      <w:r w:rsidR="00C64FD3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C64FD3" w:rsidRPr="005247B7">
        <w:rPr>
          <w:rFonts w:asciiTheme="minorHAnsi" w:hAnsiTheme="minorHAnsi" w:cstheme="minorHAnsi"/>
          <w:color w:val="auto"/>
          <w:sz w:val="24"/>
          <w:szCs w:val="24"/>
        </w:rPr>
        <w:t>w terminie 3 miesięcy od dnia wejścia w życie ustawy</w:t>
      </w:r>
      <w:r w:rsidR="00C64F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247B7">
        <w:rPr>
          <w:rFonts w:asciiTheme="minorHAnsi" w:hAnsiTheme="minorHAnsi" w:cstheme="minorHAnsi"/>
          <w:color w:val="auto"/>
          <w:sz w:val="24"/>
          <w:szCs w:val="24"/>
        </w:rPr>
        <w:t xml:space="preserve"> wniosek</w:t>
      </w:r>
      <w:r w:rsidR="005247B7" w:rsidRPr="005247B7">
        <w:rPr>
          <w:rFonts w:asciiTheme="minorHAnsi" w:hAnsiTheme="minorHAnsi" w:cstheme="minorHAnsi"/>
          <w:color w:val="auto"/>
          <w:sz w:val="24"/>
          <w:szCs w:val="24"/>
        </w:rPr>
        <w:t xml:space="preserve"> o </w:t>
      </w:r>
      <w:r w:rsidR="005247B7" w:rsidRPr="005247B7">
        <w:rPr>
          <w:rFonts w:asciiTheme="minorHAnsi" w:hAnsiTheme="minorHAnsi" w:cstheme="minorHAnsi"/>
          <w:sz w:val="24"/>
          <w:szCs w:val="24"/>
        </w:rPr>
        <w:t>uznanie</w:t>
      </w:r>
      <w:r w:rsidR="00C64FD3">
        <w:rPr>
          <w:rFonts w:asciiTheme="minorHAnsi" w:hAnsiTheme="minorHAnsi" w:cstheme="minorHAnsi"/>
          <w:sz w:val="24"/>
          <w:szCs w:val="24"/>
        </w:rPr>
        <w:t xml:space="preserve"> </w:t>
      </w:r>
      <w:r w:rsidR="005247B7" w:rsidRPr="005247B7">
        <w:rPr>
          <w:rFonts w:asciiTheme="minorHAnsi" w:hAnsiTheme="minorHAnsi" w:cstheme="minorHAnsi"/>
          <w:sz w:val="24"/>
          <w:szCs w:val="24"/>
        </w:rPr>
        <w:t>system</w:t>
      </w:r>
      <w:r w:rsidR="00C64FD3">
        <w:rPr>
          <w:rFonts w:asciiTheme="minorHAnsi" w:hAnsiTheme="minorHAnsi" w:cstheme="minorHAnsi"/>
          <w:sz w:val="24"/>
          <w:szCs w:val="24"/>
        </w:rPr>
        <w:t>u</w:t>
      </w:r>
      <w:r w:rsidR="005247B7" w:rsidRPr="005247B7">
        <w:rPr>
          <w:rFonts w:asciiTheme="minorHAnsi" w:hAnsiTheme="minorHAnsi" w:cstheme="minorHAnsi"/>
          <w:sz w:val="24"/>
          <w:szCs w:val="24"/>
        </w:rPr>
        <w:t xml:space="preserve"> ciepłownicz</w:t>
      </w:r>
      <w:r w:rsidR="00C64FD3">
        <w:rPr>
          <w:rFonts w:asciiTheme="minorHAnsi" w:hAnsiTheme="minorHAnsi" w:cstheme="minorHAnsi"/>
          <w:sz w:val="24"/>
          <w:szCs w:val="24"/>
        </w:rPr>
        <w:t xml:space="preserve">ego </w:t>
      </w:r>
      <w:r w:rsidR="005247B7" w:rsidRPr="005247B7">
        <w:rPr>
          <w:rFonts w:asciiTheme="minorHAnsi" w:hAnsiTheme="minorHAnsi" w:cstheme="minorHAnsi"/>
          <w:sz w:val="24"/>
          <w:szCs w:val="24"/>
        </w:rPr>
        <w:t>danego przedsiębiorstwa za efektywny energetycznie system ciepłowniczy</w:t>
      </w:r>
      <w:r w:rsidRPr="005247B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559E1A" w14:textId="1BECEF97" w:rsidR="009B13A9" w:rsidRPr="005247B7" w:rsidRDefault="009B13A9" w:rsidP="001C675E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247B7">
        <w:rPr>
          <w:rFonts w:asciiTheme="minorHAnsi" w:hAnsiTheme="minorHAnsi" w:cstheme="minorHAnsi"/>
          <w:color w:val="auto"/>
          <w:sz w:val="24"/>
          <w:szCs w:val="24"/>
        </w:rPr>
        <w:t>Powyższe budzi wątpliwość z punktu widzenia zachowania terminu 31 grudnia 2025 r. określonego w art. 24 ust. 2 dyrektywy 2018/2001</w:t>
      </w:r>
      <w:r w:rsidR="00DD58AC" w:rsidRPr="005247B7">
        <w:rPr>
          <w:rFonts w:asciiTheme="minorHAnsi" w:hAnsiTheme="minorHAnsi" w:cstheme="minorHAnsi"/>
          <w:color w:val="auto"/>
          <w:sz w:val="24"/>
          <w:szCs w:val="24"/>
        </w:rPr>
        <w:t>. P</w:t>
      </w:r>
      <w:r w:rsidRPr="005247B7">
        <w:rPr>
          <w:rFonts w:asciiTheme="minorHAnsi" w:hAnsiTheme="minorHAnsi" w:cstheme="minorHAnsi"/>
          <w:color w:val="auto"/>
          <w:sz w:val="24"/>
          <w:szCs w:val="24"/>
        </w:rPr>
        <w:t>rojektowany przepis bowiem nie określa terminu wydania decyzji, a jedynie maksymalny dopuszczalny termin złożenia wniosku przez przedsiębiorstwo energetyczne. Przedmiotowa kwestia jest tym bardziej istotna z uwagi na obowiązek zapewnienia odbiorcom możliwości odłączenia się od systemu, który w tym terminie nie będzie uznany za efektywny energetycznie</w:t>
      </w:r>
      <w:r w:rsidR="00E1329D" w:rsidRPr="005247B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9BDCB0B" w14:textId="2C63BF0C" w:rsidR="001F3CA9" w:rsidRPr="001C675E" w:rsidRDefault="001F3CA9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Art. 33 projektu</w:t>
      </w:r>
    </w:p>
    <w:p w14:paraId="1DF8330B" w14:textId="41389778" w:rsidR="001F3CA9" w:rsidRPr="001C675E" w:rsidRDefault="001F3CA9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Artykuł ten zawiera katalog przepisów objętych klauzulą zawieszającą udzielanie pomocy państwa. </w:t>
      </w:r>
      <w:r w:rsidR="00C64FD3">
        <w:rPr>
          <w:color w:val="auto"/>
          <w:sz w:val="24"/>
          <w:szCs w:val="24"/>
        </w:rPr>
        <w:t xml:space="preserve">Katalog ten wydaje się jednak niekompletny, gdyż pomija on system wsparcia w postaci aukcji na wsparcie operacyjne, o którym mowa </w:t>
      </w:r>
      <w:r w:rsidR="00C64FD3" w:rsidRPr="001C675E">
        <w:rPr>
          <w:color w:val="auto"/>
          <w:sz w:val="24"/>
          <w:szCs w:val="24"/>
        </w:rPr>
        <w:t>w art. 1 pkt 65 projektu, dotyczącym art. 83b ustawy OZE</w:t>
      </w:r>
      <w:r w:rsidR="00105D61" w:rsidRPr="00105D61">
        <w:rPr>
          <w:color w:val="auto"/>
          <w:sz w:val="24"/>
          <w:szCs w:val="24"/>
        </w:rPr>
        <w:t>, ponieważ jako środek pomocy państwa również podlega notyfikacji KE w trybie art. 108 ust. 3 TFUE.</w:t>
      </w:r>
    </w:p>
    <w:p w14:paraId="618693B3" w14:textId="16BD5DA2" w:rsidR="009B13A9" w:rsidRPr="001C675E" w:rsidRDefault="00E1329D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A</w:t>
      </w:r>
      <w:r w:rsidR="009B13A9" w:rsidRPr="001C675E">
        <w:rPr>
          <w:b/>
          <w:color w:val="auto"/>
          <w:sz w:val="24"/>
          <w:szCs w:val="24"/>
        </w:rPr>
        <w:t>rt. 35 projektu</w:t>
      </w:r>
    </w:p>
    <w:p w14:paraId="7C0110FE" w14:textId="77777777" w:rsidR="00CC34EF" w:rsidRPr="001C675E" w:rsidRDefault="009B13A9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Planowane wejście w życie projektu z dniem 1 stycznia 2023 r.</w:t>
      </w:r>
      <w:r w:rsidR="00CC34EF" w:rsidRPr="001C675E">
        <w:rPr>
          <w:color w:val="auto"/>
          <w:sz w:val="24"/>
          <w:szCs w:val="24"/>
        </w:rPr>
        <w:t xml:space="preserve">, </w:t>
      </w:r>
      <w:r w:rsidRPr="001C675E">
        <w:rPr>
          <w:color w:val="auto"/>
          <w:sz w:val="24"/>
          <w:szCs w:val="24"/>
        </w:rPr>
        <w:t>z wyjątkiem</w:t>
      </w:r>
      <w:r w:rsidR="00CC34EF" w:rsidRPr="001C675E">
        <w:rPr>
          <w:color w:val="auto"/>
          <w:sz w:val="24"/>
          <w:szCs w:val="24"/>
        </w:rPr>
        <w:t>:</w:t>
      </w:r>
    </w:p>
    <w:p w14:paraId="1A38D529" w14:textId="791212AA" w:rsidR="00CC34EF" w:rsidRPr="001C675E" w:rsidRDefault="00CC34EF" w:rsidP="00DD58AC">
      <w:pPr>
        <w:pStyle w:val="PKTpunkt"/>
        <w:numPr>
          <w:ilvl w:val="2"/>
          <w:numId w:val="43"/>
        </w:numPr>
        <w:spacing w:after="120" w:line="240" w:lineRule="auto"/>
        <w:ind w:left="851" w:hanging="284"/>
        <w:contextualSpacing/>
        <w:rPr>
          <w:rFonts w:ascii="Calibri" w:hAnsi="Calibri" w:cs="Calibri"/>
          <w:szCs w:val="24"/>
        </w:rPr>
      </w:pPr>
      <w:r w:rsidRPr="001C675E">
        <w:rPr>
          <w:rFonts w:ascii="Calibri" w:hAnsi="Calibri" w:cs="Calibri"/>
          <w:szCs w:val="24"/>
        </w:rPr>
        <w:t>art. 1 pkt 1 lit. c, pkt 76-84 oraz art. 5, które wchodzą w życie z dniem 1 lipca 2023 r.;</w:t>
      </w:r>
    </w:p>
    <w:p w14:paraId="115642AA" w14:textId="046C62A4" w:rsidR="00CC34EF" w:rsidRPr="001C675E" w:rsidRDefault="00CC34EF" w:rsidP="00DD58AC">
      <w:pPr>
        <w:pStyle w:val="PKTpunkt"/>
        <w:numPr>
          <w:ilvl w:val="2"/>
          <w:numId w:val="43"/>
        </w:numPr>
        <w:spacing w:after="120" w:line="240" w:lineRule="auto"/>
        <w:ind w:left="851" w:hanging="284"/>
        <w:contextualSpacing/>
        <w:rPr>
          <w:rFonts w:ascii="Calibri" w:hAnsi="Calibri" w:cs="Calibri"/>
          <w:szCs w:val="24"/>
        </w:rPr>
      </w:pPr>
      <w:r w:rsidRPr="001C675E">
        <w:rPr>
          <w:rFonts w:ascii="Calibri" w:hAnsi="Calibri" w:cs="Calibri"/>
          <w:szCs w:val="24"/>
        </w:rPr>
        <w:t>art. 1 pkt 30, pkt 90 oraz pkt 94, które wchodzą w życie z dniem 1 stycznia 2024 r.;</w:t>
      </w:r>
    </w:p>
    <w:p w14:paraId="35483326" w14:textId="4D10D0B8" w:rsidR="00CC34EF" w:rsidRPr="001C675E" w:rsidRDefault="00CC34EF" w:rsidP="00DD58AC">
      <w:pPr>
        <w:pStyle w:val="PKTpunkt"/>
        <w:numPr>
          <w:ilvl w:val="2"/>
          <w:numId w:val="43"/>
        </w:numPr>
        <w:spacing w:after="120" w:line="240" w:lineRule="auto"/>
        <w:ind w:left="851" w:hanging="284"/>
        <w:contextualSpacing/>
        <w:rPr>
          <w:rFonts w:ascii="Calibri" w:hAnsi="Calibri" w:cs="Calibri"/>
          <w:szCs w:val="24"/>
        </w:rPr>
      </w:pPr>
      <w:r w:rsidRPr="001C675E">
        <w:rPr>
          <w:rFonts w:ascii="Calibri" w:hAnsi="Calibri" w:cs="Calibri"/>
          <w:szCs w:val="24"/>
        </w:rPr>
        <w:t xml:space="preserve">art. 4 pkt 3-5, które wchodzą w życie z dniem 1 stycznia 2026 r. </w:t>
      </w:r>
    </w:p>
    <w:p w14:paraId="226D7282" w14:textId="6FB48351" w:rsidR="009B13A9" w:rsidRDefault="00686E9E" w:rsidP="001C675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lastRenderedPageBreak/>
        <w:t xml:space="preserve">wydaje się </w:t>
      </w:r>
      <w:r w:rsidR="009B13A9" w:rsidRPr="001C675E">
        <w:rPr>
          <w:color w:val="auto"/>
          <w:sz w:val="24"/>
          <w:szCs w:val="24"/>
        </w:rPr>
        <w:t>zbyt odległym terminem</w:t>
      </w:r>
      <w:r w:rsidRPr="001C675E">
        <w:rPr>
          <w:color w:val="auto"/>
          <w:sz w:val="24"/>
          <w:szCs w:val="24"/>
        </w:rPr>
        <w:t xml:space="preserve">, </w:t>
      </w:r>
      <w:r w:rsidR="009B13A9" w:rsidRPr="001C675E">
        <w:rPr>
          <w:color w:val="auto"/>
          <w:sz w:val="24"/>
          <w:szCs w:val="24"/>
        </w:rPr>
        <w:t>biorąc pod uwagę uchybienie terminow</w:t>
      </w:r>
      <w:r w:rsidR="00DD58AC">
        <w:rPr>
          <w:color w:val="auto"/>
          <w:sz w:val="24"/>
          <w:szCs w:val="24"/>
        </w:rPr>
        <w:t>i wdrożenia dyrektywy 2018/2001. Z</w:t>
      </w:r>
      <w:r w:rsidR="009B13A9" w:rsidRPr="001C675E">
        <w:rPr>
          <w:color w:val="auto"/>
          <w:sz w:val="24"/>
          <w:szCs w:val="24"/>
        </w:rPr>
        <w:t xml:space="preserve">godnie z jej art. 36 ust. 1 </w:t>
      </w:r>
      <w:r w:rsidR="009B13A9" w:rsidRPr="00545F41">
        <w:rPr>
          <w:color w:val="auto"/>
          <w:sz w:val="24"/>
          <w:szCs w:val="24"/>
        </w:rPr>
        <w:t xml:space="preserve">państwa członkowskie wprowadzają w życie przepisy ustawowe, </w:t>
      </w:r>
      <w:r w:rsidR="009B13A9" w:rsidRPr="00307FF1">
        <w:rPr>
          <w:color w:val="auto"/>
          <w:sz w:val="24"/>
          <w:szCs w:val="24"/>
        </w:rPr>
        <w:t>wykonawcze i administracyjne niezbędne do wykonania art. 2–13, art. 15–31 i art. 37 oraz załączników II, III i V-IX, do dnia 30 czerwca 2021 r.</w:t>
      </w:r>
      <w:r w:rsidR="007F454E">
        <w:rPr>
          <w:color w:val="auto"/>
          <w:sz w:val="24"/>
          <w:szCs w:val="24"/>
        </w:rPr>
        <w:t xml:space="preserve"> Polska nie dotrzymała ww. terminu.</w:t>
      </w:r>
    </w:p>
    <w:p w14:paraId="749B10C3" w14:textId="06B518E1" w:rsidR="00307FF1" w:rsidRPr="001C675E" w:rsidRDefault="004E7650" w:rsidP="007F454E">
      <w:pPr>
        <w:pStyle w:val="Akapitzlist"/>
        <w:spacing w:after="120" w:line="240" w:lineRule="auto"/>
        <w:ind w:left="567"/>
        <w:contextualSpacing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Przypominam, że w</w:t>
      </w:r>
      <w:r w:rsidR="007F454E">
        <w:rPr>
          <w:color w:val="auto"/>
          <w:sz w:val="24"/>
          <w:szCs w:val="24"/>
        </w:rPr>
        <w:t xml:space="preserve"> związku z brakiem powiadomienia Komisji </w:t>
      </w:r>
      <w:r w:rsidR="008869FA">
        <w:rPr>
          <w:color w:val="auto"/>
          <w:sz w:val="24"/>
          <w:szCs w:val="24"/>
        </w:rPr>
        <w:t xml:space="preserve">Europejskiej </w:t>
      </w:r>
      <w:r w:rsidR="007F454E">
        <w:rPr>
          <w:color w:val="auto"/>
          <w:sz w:val="24"/>
          <w:szCs w:val="24"/>
        </w:rPr>
        <w:t xml:space="preserve">o wdrożeniu do prawa polskiego dyrektywy 2018/2001 </w:t>
      </w:r>
      <w:r w:rsidR="00012DBC">
        <w:rPr>
          <w:color w:val="auto"/>
          <w:sz w:val="24"/>
          <w:szCs w:val="24"/>
        </w:rPr>
        <w:t xml:space="preserve">Komisja wszczęła już przeciwko Polsce postępowanie na podstawie art. 258 TFUE </w:t>
      </w:r>
      <w:r w:rsidR="007F454E">
        <w:rPr>
          <w:color w:val="auto"/>
          <w:sz w:val="24"/>
          <w:szCs w:val="24"/>
        </w:rPr>
        <w:t xml:space="preserve">i </w:t>
      </w:r>
      <w:r w:rsidR="008869FA">
        <w:rPr>
          <w:color w:val="auto"/>
          <w:sz w:val="24"/>
          <w:szCs w:val="24"/>
        </w:rPr>
        <w:t xml:space="preserve">w </w:t>
      </w:r>
      <w:r w:rsidR="00307FF1" w:rsidRPr="007F454E">
        <w:rPr>
          <w:color w:val="auto"/>
          <w:sz w:val="24"/>
          <w:szCs w:val="24"/>
        </w:rPr>
        <w:t>lipc</w:t>
      </w:r>
      <w:r w:rsidR="008869FA">
        <w:rPr>
          <w:color w:val="auto"/>
          <w:sz w:val="24"/>
          <w:szCs w:val="24"/>
        </w:rPr>
        <w:t>u</w:t>
      </w:r>
      <w:r w:rsidR="00307FF1" w:rsidRPr="007F454E">
        <w:rPr>
          <w:color w:val="auto"/>
          <w:sz w:val="24"/>
          <w:szCs w:val="24"/>
        </w:rPr>
        <w:t xml:space="preserve"> 2021 r. </w:t>
      </w:r>
      <w:r w:rsidR="007F454E">
        <w:rPr>
          <w:color w:val="auto"/>
          <w:sz w:val="24"/>
          <w:szCs w:val="24"/>
        </w:rPr>
        <w:t xml:space="preserve">przedstawiła </w:t>
      </w:r>
      <w:r w:rsidR="007F454E" w:rsidRPr="007F454E">
        <w:rPr>
          <w:color w:val="auto"/>
          <w:sz w:val="24"/>
          <w:szCs w:val="24"/>
        </w:rPr>
        <w:t>zarzuty formalne (nr naruszenia wg ewidencji KE 2021/0317)</w:t>
      </w:r>
      <w:r w:rsidR="00307FF1" w:rsidRPr="007F454E">
        <w:rPr>
          <w:color w:val="auto"/>
          <w:sz w:val="24"/>
          <w:szCs w:val="24"/>
        </w:rPr>
        <w:t>.</w:t>
      </w:r>
    </w:p>
    <w:p w14:paraId="161755DC" w14:textId="67E6014F" w:rsidR="00094DF0" w:rsidRPr="001C675E" w:rsidRDefault="00094DF0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Dodatkowa uwaga do art. 4 projektu</w:t>
      </w:r>
    </w:p>
    <w:p w14:paraId="5925262E" w14:textId="744D78AB" w:rsidR="00E212B8" w:rsidRPr="001C675E" w:rsidRDefault="00E212B8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Należy zaznaczyć, że zmiany:</w:t>
      </w:r>
    </w:p>
    <w:p w14:paraId="0136AAAD" w14:textId="4E76131F" w:rsidR="00E212B8" w:rsidRPr="001C675E" w:rsidRDefault="00E212B8" w:rsidP="00947856">
      <w:pPr>
        <w:pStyle w:val="Akapitzlist"/>
        <w:numPr>
          <w:ilvl w:val="0"/>
          <w:numId w:val="38"/>
        </w:numPr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art. 4 pkt 3 projektu, w zakresie dotyczącym art. 5a</w:t>
      </w:r>
      <w:r w:rsidRPr="001C675E">
        <w:rPr>
          <w:color w:val="auto"/>
          <w:sz w:val="24"/>
          <w:szCs w:val="24"/>
          <w:vertAlign w:val="superscript"/>
        </w:rPr>
        <w:t>1</w:t>
      </w:r>
      <w:r w:rsidRPr="001C675E">
        <w:rPr>
          <w:color w:val="auto"/>
          <w:sz w:val="24"/>
          <w:szCs w:val="24"/>
        </w:rPr>
        <w:t xml:space="preserve"> ustawy - Prawo energetyczne (dodanie ust. 3a),</w:t>
      </w:r>
    </w:p>
    <w:p w14:paraId="293E5AE8" w14:textId="5F11573A" w:rsidR="00E212B8" w:rsidRPr="001C675E" w:rsidRDefault="00E212B8" w:rsidP="00947856">
      <w:pPr>
        <w:pStyle w:val="Akapitzlist"/>
        <w:numPr>
          <w:ilvl w:val="0"/>
          <w:numId w:val="38"/>
        </w:numPr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art. 4 pkt 4 projektu, w zakresie dotyczącym art. 5b</w:t>
      </w:r>
      <w:r w:rsidRPr="001C675E">
        <w:rPr>
          <w:color w:val="auto"/>
          <w:sz w:val="24"/>
          <w:szCs w:val="24"/>
          <w:vertAlign w:val="superscript"/>
        </w:rPr>
        <w:t>4</w:t>
      </w:r>
      <w:r w:rsidRPr="001C675E">
        <w:rPr>
          <w:color w:val="auto"/>
          <w:sz w:val="24"/>
          <w:szCs w:val="24"/>
        </w:rPr>
        <w:t xml:space="preserve"> ust. 2 ustawy - Prawo energetyczne (dodanie pkt 5a),</w:t>
      </w:r>
    </w:p>
    <w:p w14:paraId="583248A1" w14:textId="116B98F2" w:rsidR="00E212B8" w:rsidRPr="001C675E" w:rsidRDefault="00E212B8" w:rsidP="00947856">
      <w:pPr>
        <w:pStyle w:val="Akapitzlist"/>
        <w:numPr>
          <w:ilvl w:val="0"/>
          <w:numId w:val="38"/>
        </w:numPr>
        <w:spacing w:after="120" w:line="240" w:lineRule="auto"/>
        <w:ind w:left="851" w:hanging="284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 xml:space="preserve">art. 4 pkt 11 projektu, w zakresie dotyczącym art. 23 ust. 2 pkt 18b </w:t>
      </w:r>
      <w:r w:rsidR="00E97FE5" w:rsidRPr="001C675E">
        <w:rPr>
          <w:color w:val="auto"/>
          <w:sz w:val="24"/>
          <w:szCs w:val="24"/>
        </w:rPr>
        <w:t xml:space="preserve">ustawy – Prawo energetyczne </w:t>
      </w:r>
      <w:r w:rsidRPr="001C675E">
        <w:rPr>
          <w:color w:val="auto"/>
          <w:sz w:val="24"/>
          <w:szCs w:val="24"/>
        </w:rPr>
        <w:t>(dodanie lit. m),</w:t>
      </w:r>
    </w:p>
    <w:p w14:paraId="1C191F5F" w14:textId="6C0387CC" w:rsidR="00E212B8" w:rsidRPr="001C675E" w:rsidRDefault="00FC5634" w:rsidP="001C675E">
      <w:pPr>
        <w:spacing w:after="120" w:line="240" w:lineRule="auto"/>
        <w:ind w:left="567"/>
        <w:jc w:val="both"/>
        <w:rPr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są zmianami</w:t>
      </w:r>
      <w:r w:rsidR="00E212B8" w:rsidRPr="001C675E">
        <w:rPr>
          <w:color w:val="auto"/>
          <w:sz w:val="24"/>
          <w:szCs w:val="24"/>
        </w:rPr>
        <w:t xml:space="preserve"> przepisów</w:t>
      </w:r>
      <w:r w:rsidRPr="001C675E">
        <w:rPr>
          <w:color w:val="auto"/>
          <w:sz w:val="24"/>
          <w:szCs w:val="24"/>
        </w:rPr>
        <w:t xml:space="preserve"> nieobowiązujących. Zmiany te dotyczą przepisów dopiero projektowanych</w:t>
      </w:r>
      <w:r w:rsidR="00E212B8" w:rsidRPr="001C675E">
        <w:rPr>
          <w:color w:val="auto"/>
          <w:sz w:val="24"/>
          <w:szCs w:val="24"/>
        </w:rPr>
        <w:t xml:space="preserve">, które są objęte </w:t>
      </w:r>
      <w:r w:rsidR="00E212B8" w:rsidRPr="001C675E">
        <w:rPr>
          <w:i/>
          <w:color w:val="auto"/>
          <w:sz w:val="24"/>
          <w:szCs w:val="24"/>
        </w:rPr>
        <w:t xml:space="preserve">projektem ustawy o zmianie ustawy – Prawo </w:t>
      </w:r>
      <w:r w:rsidR="00E212B8" w:rsidRPr="00305B90">
        <w:rPr>
          <w:i/>
          <w:color w:val="auto"/>
          <w:sz w:val="24"/>
          <w:szCs w:val="24"/>
        </w:rPr>
        <w:t xml:space="preserve">energetyczne oraz ustawy o odnawialnych źródłach energii </w:t>
      </w:r>
      <w:r w:rsidR="00E212B8" w:rsidRPr="00305B90">
        <w:rPr>
          <w:color w:val="auto"/>
          <w:sz w:val="24"/>
          <w:szCs w:val="24"/>
        </w:rPr>
        <w:t xml:space="preserve">(UC74). Powyższe może </w:t>
      </w:r>
      <w:r w:rsidR="00CF2B54" w:rsidRPr="00305B90">
        <w:rPr>
          <w:color w:val="auto"/>
          <w:sz w:val="24"/>
          <w:szCs w:val="24"/>
        </w:rPr>
        <w:t>wpływać na zgodność projektu z prawem UE</w:t>
      </w:r>
      <w:r w:rsidR="00E212B8" w:rsidRPr="00305B90">
        <w:rPr>
          <w:color w:val="auto"/>
          <w:sz w:val="24"/>
          <w:szCs w:val="24"/>
        </w:rPr>
        <w:t xml:space="preserve"> w przypadku, gdyby projekt UC74 nie wszedł w życie przed niniejszym projektem lub gdyby przedmiotowe przepisy zawarte w UC74 zostały usunięte lub </w:t>
      </w:r>
      <w:r w:rsidRPr="00305B90">
        <w:rPr>
          <w:color w:val="auto"/>
          <w:sz w:val="24"/>
          <w:szCs w:val="24"/>
        </w:rPr>
        <w:t>przyjęte w innej treści.</w:t>
      </w:r>
    </w:p>
    <w:p w14:paraId="4B34BCB2" w14:textId="77777777" w:rsidR="00094DF0" w:rsidRPr="001C675E" w:rsidRDefault="00094DF0" w:rsidP="001C675E">
      <w:pPr>
        <w:pStyle w:val="Akapitzlist"/>
        <w:numPr>
          <w:ilvl w:val="0"/>
          <w:numId w:val="23"/>
        </w:numPr>
        <w:spacing w:after="120" w:line="240" w:lineRule="auto"/>
        <w:ind w:left="567" w:hanging="567"/>
        <w:contextualSpacing w:val="0"/>
        <w:jc w:val="both"/>
        <w:rPr>
          <w:b/>
          <w:color w:val="auto"/>
          <w:sz w:val="24"/>
          <w:szCs w:val="24"/>
        </w:rPr>
      </w:pPr>
      <w:r w:rsidRPr="001C675E">
        <w:rPr>
          <w:b/>
          <w:color w:val="auto"/>
          <w:sz w:val="24"/>
          <w:szCs w:val="24"/>
        </w:rPr>
        <w:t>Uwaga ogólna dotycząca art. 36 ust. 1 dyrektywy 2018/2001</w:t>
      </w:r>
    </w:p>
    <w:p w14:paraId="4137E503" w14:textId="7C540E5B" w:rsidR="00094DF0" w:rsidRPr="001C675E" w:rsidRDefault="00094DF0" w:rsidP="001C675E">
      <w:pPr>
        <w:pStyle w:val="Akapitzlist"/>
        <w:autoSpaceDE w:val="0"/>
        <w:autoSpaceDN w:val="0"/>
        <w:spacing w:after="120" w:line="240" w:lineRule="auto"/>
        <w:ind w:left="567"/>
        <w:contextualSpacing w:val="0"/>
        <w:jc w:val="both"/>
        <w:rPr>
          <w:rFonts w:eastAsiaTheme="minorEastAsia"/>
          <w:b/>
          <w:color w:val="auto"/>
          <w:sz w:val="24"/>
          <w:szCs w:val="24"/>
        </w:rPr>
      </w:pPr>
      <w:r w:rsidRPr="001C675E">
        <w:rPr>
          <w:color w:val="auto"/>
          <w:sz w:val="24"/>
          <w:szCs w:val="24"/>
        </w:rPr>
        <w:t>Zgodnie z art. 36 ust. 1 akapit drugi dyrektywy 2018/2001, przepisy przyjęte przez państwa członkowskie w celu transpozycji dyrektywy 2018/2001 zawierają wskazanie, że w istniejących przepisach ustawowych, wykonawczych i administracyjnych odniesienia do dyrektywy 2009/28/WE traktuje się jako odniesienia do dyrektywy 2018/2001. W związku z tym należy zweryfikować, czy w obecnie obowiązujących krajowych przepisach (ustawowych oraz wykonawczych) znajdują się odniesienia do</w:t>
      </w:r>
      <w:r w:rsidR="00FC5634" w:rsidRPr="001C675E">
        <w:rPr>
          <w:color w:val="auto"/>
          <w:sz w:val="24"/>
          <w:szCs w:val="24"/>
        </w:rPr>
        <w:t> </w:t>
      </w:r>
      <w:r w:rsidRPr="001C675E">
        <w:rPr>
          <w:color w:val="auto"/>
          <w:sz w:val="24"/>
          <w:szCs w:val="24"/>
        </w:rPr>
        <w:t>dyrektywy 2009/28/WE, a jeśli tak, to je zmienić. Jeżeli takich odniesień nie ma, to należy zmodyfikować tabelę zgodności wskazując, że przepis wymaga transpozycji (ponieważ formalnie nakłada na państwo obowiązek), ale w polskim porządku prawnym takich odniesień nie było, stąd dla wdrożenia tego przepisu nie są potrzebne pozytywne działania legislacyjne.</w:t>
      </w:r>
    </w:p>
    <w:p w14:paraId="788FF5E1" w14:textId="77777777" w:rsidR="00FF5C56" w:rsidRPr="003F7BF3" w:rsidRDefault="00AA54BD" w:rsidP="00FC5634">
      <w:pPr>
        <w:pStyle w:val="Tekstpodstawowy"/>
        <w:spacing w:before="240" w:after="240"/>
        <w:jc w:val="both"/>
        <w:rPr>
          <w:rFonts w:ascii="Calibri" w:hAnsi="Calibri" w:cs="Calibri"/>
          <w:i/>
          <w:szCs w:val="24"/>
        </w:rPr>
      </w:pPr>
      <w:r w:rsidRPr="003F7BF3">
        <w:rPr>
          <w:rFonts w:ascii="Calibri" w:eastAsiaTheme="minorEastAsia" w:hAnsi="Calibri" w:cs="Calibri"/>
          <w:b/>
          <w:szCs w:val="24"/>
        </w:rPr>
        <w:t>Z zastrzeżeniem powyższych uwag p</w:t>
      </w:r>
      <w:r w:rsidR="00DA6F9D" w:rsidRPr="003F7BF3">
        <w:rPr>
          <w:rFonts w:ascii="Calibri" w:hAnsi="Calibri" w:cs="Calibri"/>
          <w:b/>
          <w:szCs w:val="24"/>
        </w:rPr>
        <w:t>rojekt ustawy jest zgodny z prawem Unii Europejskiej.</w:t>
      </w:r>
    </w:p>
    <w:p w14:paraId="45D8B50B" w14:textId="77777777" w:rsidR="00267E7F" w:rsidRPr="003F7BF3" w:rsidRDefault="00267E7F" w:rsidP="00267E7F">
      <w:pPr>
        <w:ind w:left="4956" w:right="-1" w:firstLine="284"/>
        <w:jc w:val="both"/>
        <w:rPr>
          <w:i/>
          <w:color w:val="auto"/>
          <w:sz w:val="24"/>
          <w:szCs w:val="24"/>
        </w:rPr>
      </w:pPr>
      <w:r w:rsidRPr="003F7BF3">
        <w:rPr>
          <w:i/>
          <w:color w:val="auto"/>
          <w:sz w:val="24"/>
          <w:szCs w:val="24"/>
        </w:rPr>
        <w:t>Z poważaniem</w:t>
      </w:r>
    </w:p>
    <w:p w14:paraId="25A64E06" w14:textId="77777777" w:rsidR="00267E7F" w:rsidRPr="003F7BF3" w:rsidRDefault="00267E7F" w:rsidP="00267E7F">
      <w:pPr>
        <w:spacing w:after="0" w:line="240" w:lineRule="auto"/>
        <w:ind w:left="2835"/>
        <w:jc w:val="center"/>
        <w:rPr>
          <w:color w:val="auto"/>
          <w:sz w:val="24"/>
          <w:szCs w:val="24"/>
        </w:rPr>
      </w:pPr>
      <w:r w:rsidRPr="003F7BF3">
        <w:rPr>
          <w:color w:val="auto"/>
          <w:sz w:val="24"/>
          <w:szCs w:val="24"/>
        </w:rPr>
        <w:t>Konrad Szymański</w:t>
      </w:r>
    </w:p>
    <w:p w14:paraId="780C0CA6" w14:textId="77777777" w:rsidR="00267E7F" w:rsidRPr="003F7BF3" w:rsidRDefault="00267E7F" w:rsidP="00267E7F">
      <w:pPr>
        <w:spacing w:after="0" w:line="240" w:lineRule="auto"/>
        <w:ind w:left="2835"/>
        <w:jc w:val="center"/>
        <w:rPr>
          <w:color w:val="auto"/>
          <w:sz w:val="24"/>
          <w:szCs w:val="24"/>
        </w:rPr>
      </w:pPr>
      <w:r w:rsidRPr="003F7BF3">
        <w:rPr>
          <w:color w:val="auto"/>
          <w:sz w:val="24"/>
          <w:szCs w:val="24"/>
        </w:rPr>
        <w:t>Minister do Spraw Unii Europejskiej</w:t>
      </w:r>
    </w:p>
    <w:p w14:paraId="014E3FA8" w14:textId="77777777" w:rsidR="0072637D" w:rsidRPr="003F7BF3" w:rsidRDefault="00267E7F" w:rsidP="00FA19D3">
      <w:pPr>
        <w:spacing w:after="60" w:line="240" w:lineRule="auto"/>
        <w:ind w:left="3540"/>
        <w:rPr>
          <w:i/>
          <w:color w:val="auto"/>
          <w:sz w:val="24"/>
          <w:szCs w:val="24"/>
        </w:rPr>
      </w:pPr>
      <w:r w:rsidRPr="003F7BF3">
        <w:rPr>
          <w:i/>
          <w:color w:val="auto"/>
          <w:sz w:val="24"/>
          <w:szCs w:val="24"/>
        </w:rPr>
        <w:t>/podpisano kwalifikowanym podpisem elektronicznym/</w:t>
      </w:r>
    </w:p>
    <w:sectPr w:rsidR="0072637D" w:rsidRPr="003F7BF3" w:rsidSect="00BB6098">
      <w:headerReference w:type="default" r:id="rId9"/>
      <w:footerReference w:type="default" r:id="rId10"/>
      <w:footerReference w:type="first" r:id="rId11"/>
      <w:pgSz w:w="11906" w:h="16838"/>
      <w:pgMar w:top="674" w:right="1440" w:bottom="907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AA32" w14:textId="77777777" w:rsidR="00077BF0" w:rsidRDefault="00077BF0" w:rsidP="00884D92">
      <w:pPr>
        <w:spacing w:after="0" w:line="240" w:lineRule="auto"/>
      </w:pPr>
      <w:r>
        <w:separator/>
      </w:r>
    </w:p>
  </w:endnote>
  <w:endnote w:type="continuationSeparator" w:id="0">
    <w:p w14:paraId="5D202391" w14:textId="77777777" w:rsidR="00077BF0" w:rsidRDefault="00077BF0" w:rsidP="00884D92">
      <w:pPr>
        <w:spacing w:after="0" w:line="240" w:lineRule="auto"/>
      </w:pPr>
      <w:r>
        <w:continuationSeparator/>
      </w:r>
    </w:p>
  </w:endnote>
  <w:endnote w:type="continuationNotice" w:id="1">
    <w:p w14:paraId="11472FC3" w14:textId="77777777" w:rsidR="00077BF0" w:rsidRDefault="00077B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2617295"/>
      <w:docPartObj>
        <w:docPartGallery w:val="Page Numbers (Bottom of Page)"/>
        <w:docPartUnique/>
      </w:docPartObj>
    </w:sdtPr>
    <w:sdtContent>
      <w:p w14:paraId="0BCB4F0D" w14:textId="1AE69815" w:rsidR="00BB6098" w:rsidRDefault="00BB60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AAE">
          <w:rPr>
            <w:noProof/>
          </w:rPr>
          <w:t>10</w:t>
        </w:r>
        <w:r>
          <w:fldChar w:fldCharType="end"/>
        </w:r>
      </w:p>
    </w:sdtContent>
  </w:sdt>
  <w:p w14:paraId="11A46B42" w14:textId="77777777" w:rsidR="00BB6098" w:rsidRDefault="00BB6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0117692"/>
      <w:docPartObj>
        <w:docPartGallery w:val="Page Numbers (Bottom of Page)"/>
        <w:docPartUnique/>
      </w:docPartObj>
    </w:sdtPr>
    <w:sdtContent>
      <w:p w14:paraId="620FEC91" w14:textId="19B3CDA7" w:rsidR="001F08C1" w:rsidRDefault="001F08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878">
          <w:rPr>
            <w:noProof/>
          </w:rPr>
          <w:t>1</w:t>
        </w:r>
        <w:r>
          <w:fldChar w:fldCharType="end"/>
        </w:r>
      </w:p>
    </w:sdtContent>
  </w:sdt>
  <w:p w14:paraId="17F3529E" w14:textId="77777777" w:rsidR="001F08C1" w:rsidRDefault="001F08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F170B" w14:textId="77777777" w:rsidR="00077BF0" w:rsidRDefault="00077BF0" w:rsidP="00884D92">
      <w:pPr>
        <w:spacing w:after="0" w:line="240" w:lineRule="auto"/>
      </w:pPr>
      <w:r>
        <w:separator/>
      </w:r>
    </w:p>
  </w:footnote>
  <w:footnote w:type="continuationSeparator" w:id="0">
    <w:p w14:paraId="47ACB813" w14:textId="77777777" w:rsidR="00077BF0" w:rsidRDefault="00077BF0" w:rsidP="00884D92">
      <w:pPr>
        <w:spacing w:after="0" w:line="240" w:lineRule="auto"/>
      </w:pPr>
      <w:r>
        <w:continuationSeparator/>
      </w:r>
    </w:p>
  </w:footnote>
  <w:footnote w:type="continuationNotice" w:id="1">
    <w:p w14:paraId="5575BB70" w14:textId="77777777" w:rsidR="00077BF0" w:rsidRDefault="00077B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F38C1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6827"/>
    <w:multiLevelType w:val="hybridMultilevel"/>
    <w:tmpl w:val="05D87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0205"/>
    <w:multiLevelType w:val="hybridMultilevel"/>
    <w:tmpl w:val="162A885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B77C5"/>
    <w:multiLevelType w:val="hybridMultilevel"/>
    <w:tmpl w:val="F8127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F7DD9"/>
    <w:multiLevelType w:val="hybridMultilevel"/>
    <w:tmpl w:val="E0444E90"/>
    <w:lvl w:ilvl="0" w:tplc="04150011">
      <w:start w:val="1"/>
      <w:numFmt w:val="decimal"/>
      <w:lvlText w:val="%1)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 w15:restartNumberingAfterBreak="0">
    <w:nsid w:val="0F1A14EB"/>
    <w:multiLevelType w:val="hybridMultilevel"/>
    <w:tmpl w:val="D9EA98D4"/>
    <w:lvl w:ilvl="0" w:tplc="8F60D31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071883"/>
    <w:multiLevelType w:val="hybridMultilevel"/>
    <w:tmpl w:val="2AC04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E35EB"/>
    <w:multiLevelType w:val="hybridMultilevel"/>
    <w:tmpl w:val="EE86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F4DA7"/>
    <w:multiLevelType w:val="hybridMultilevel"/>
    <w:tmpl w:val="98C68BA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D130A2"/>
    <w:multiLevelType w:val="hybridMultilevel"/>
    <w:tmpl w:val="ED0A5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710E2"/>
    <w:multiLevelType w:val="hybridMultilevel"/>
    <w:tmpl w:val="E17AB7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8705FC"/>
    <w:multiLevelType w:val="hybridMultilevel"/>
    <w:tmpl w:val="E668CF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4AC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4543C"/>
    <w:multiLevelType w:val="hybridMultilevel"/>
    <w:tmpl w:val="7098D4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AD51D4"/>
    <w:multiLevelType w:val="hybridMultilevel"/>
    <w:tmpl w:val="ED4C0F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4142D"/>
    <w:multiLevelType w:val="hybridMultilevel"/>
    <w:tmpl w:val="490CB0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927B71"/>
    <w:multiLevelType w:val="hybridMultilevel"/>
    <w:tmpl w:val="171CD0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5C175F1"/>
    <w:multiLevelType w:val="hybridMultilevel"/>
    <w:tmpl w:val="E40A1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F71C5"/>
    <w:multiLevelType w:val="hybridMultilevel"/>
    <w:tmpl w:val="C52A62E2"/>
    <w:lvl w:ilvl="0" w:tplc="BD16A5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976E6"/>
    <w:multiLevelType w:val="hybridMultilevel"/>
    <w:tmpl w:val="34260992"/>
    <w:lvl w:ilvl="0" w:tplc="E9A046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3A30D45"/>
    <w:multiLevelType w:val="hybridMultilevel"/>
    <w:tmpl w:val="874278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4954CEF"/>
    <w:multiLevelType w:val="hybridMultilevel"/>
    <w:tmpl w:val="5FAE11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65905BE"/>
    <w:multiLevelType w:val="hybridMultilevel"/>
    <w:tmpl w:val="A3020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87457"/>
    <w:multiLevelType w:val="hybridMultilevel"/>
    <w:tmpl w:val="1668E96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6E6AE9"/>
    <w:multiLevelType w:val="hybridMultilevel"/>
    <w:tmpl w:val="DC845142"/>
    <w:lvl w:ilvl="0" w:tplc="CFDE22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2665E05"/>
    <w:multiLevelType w:val="hybridMultilevel"/>
    <w:tmpl w:val="60A060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0515FA"/>
    <w:multiLevelType w:val="multilevel"/>
    <w:tmpl w:val="7EEC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B0E65F4"/>
    <w:multiLevelType w:val="hybridMultilevel"/>
    <w:tmpl w:val="8AC4F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2426FE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E4224"/>
    <w:multiLevelType w:val="hybridMultilevel"/>
    <w:tmpl w:val="D1E4AF4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687DFC"/>
    <w:multiLevelType w:val="hybridMultilevel"/>
    <w:tmpl w:val="57386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E3A78"/>
    <w:multiLevelType w:val="hybridMultilevel"/>
    <w:tmpl w:val="2786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357AE"/>
    <w:multiLevelType w:val="hybridMultilevel"/>
    <w:tmpl w:val="DA08E61C"/>
    <w:lvl w:ilvl="0" w:tplc="92B6EFF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5857609"/>
    <w:multiLevelType w:val="hybridMultilevel"/>
    <w:tmpl w:val="168C532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7F2007A"/>
    <w:multiLevelType w:val="hybridMultilevel"/>
    <w:tmpl w:val="27B8057C"/>
    <w:lvl w:ilvl="0" w:tplc="A0FC62A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80B1D"/>
    <w:multiLevelType w:val="hybridMultilevel"/>
    <w:tmpl w:val="0F6A9B0E"/>
    <w:lvl w:ilvl="0" w:tplc="AA8650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8E12E8D"/>
    <w:multiLevelType w:val="hybridMultilevel"/>
    <w:tmpl w:val="4D10EEC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7EAE2A59"/>
    <w:multiLevelType w:val="hybridMultilevel"/>
    <w:tmpl w:val="90383AF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F87372C"/>
    <w:multiLevelType w:val="hybridMultilevel"/>
    <w:tmpl w:val="8E361134"/>
    <w:lvl w:ilvl="0" w:tplc="829056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853196">
    <w:abstractNumId w:val="16"/>
  </w:num>
  <w:num w:numId="2" w16cid:durableId="2024740089">
    <w:abstractNumId w:val="26"/>
  </w:num>
  <w:num w:numId="3" w16cid:durableId="911962948">
    <w:abstractNumId w:val="3"/>
  </w:num>
  <w:num w:numId="4" w16cid:durableId="403919473">
    <w:abstractNumId w:val="29"/>
  </w:num>
  <w:num w:numId="5" w16cid:durableId="272592946">
    <w:abstractNumId w:val="28"/>
  </w:num>
  <w:num w:numId="6" w16cid:durableId="1082988455">
    <w:abstractNumId w:val="31"/>
  </w:num>
  <w:num w:numId="7" w16cid:durableId="1138492326">
    <w:abstractNumId w:val="32"/>
  </w:num>
  <w:num w:numId="8" w16cid:durableId="1324815563">
    <w:abstractNumId w:val="22"/>
  </w:num>
  <w:num w:numId="9" w16cid:durableId="862284056">
    <w:abstractNumId w:val="17"/>
  </w:num>
  <w:num w:numId="10" w16cid:durableId="2013873910">
    <w:abstractNumId w:val="24"/>
  </w:num>
  <w:num w:numId="11" w16cid:durableId="1517941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74358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61258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910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00526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260370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045498">
    <w:abstractNumId w:val="8"/>
  </w:num>
  <w:num w:numId="18" w16cid:durableId="1429276274">
    <w:abstractNumId w:val="4"/>
  </w:num>
  <w:num w:numId="19" w16cid:durableId="820002892">
    <w:abstractNumId w:val="1"/>
  </w:num>
  <w:num w:numId="20" w16cid:durableId="2034573546">
    <w:abstractNumId w:val="2"/>
  </w:num>
  <w:num w:numId="21" w16cid:durableId="1221019026">
    <w:abstractNumId w:val="35"/>
  </w:num>
  <w:num w:numId="22" w16cid:durableId="1396048382">
    <w:abstractNumId w:val="15"/>
  </w:num>
  <w:num w:numId="23" w16cid:durableId="1649626399">
    <w:abstractNumId w:val="10"/>
  </w:num>
  <w:num w:numId="24" w16cid:durableId="459419395">
    <w:abstractNumId w:val="33"/>
  </w:num>
  <w:num w:numId="25" w16cid:durableId="11882501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7286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9105486">
    <w:abstractNumId w:val="27"/>
  </w:num>
  <w:num w:numId="28" w16cid:durableId="2020621036">
    <w:abstractNumId w:val="30"/>
  </w:num>
  <w:num w:numId="29" w16cid:durableId="1499073116">
    <w:abstractNumId w:val="6"/>
  </w:num>
  <w:num w:numId="30" w16cid:durableId="1536117315">
    <w:abstractNumId w:val="0"/>
  </w:num>
  <w:num w:numId="31" w16cid:durableId="1418750283">
    <w:abstractNumId w:val="9"/>
  </w:num>
  <w:num w:numId="32" w16cid:durableId="826168166">
    <w:abstractNumId w:val="11"/>
  </w:num>
  <w:num w:numId="33" w16cid:durableId="862980200">
    <w:abstractNumId w:val="19"/>
  </w:num>
  <w:num w:numId="34" w16cid:durableId="869800718">
    <w:abstractNumId w:val="5"/>
  </w:num>
  <w:num w:numId="35" w16cid:durableId="2032297280">
    <w:abstractNumId w:val="25"/>
  </w:num>
  <w:num w:numId="36" w16cid:durableId="627974387">
    <w:abstractNumId w:val="34"/>
  </w:num>
  <w:num w:numId="37" w16cid:durableId="451287519">
    <w:abstractNumId w:val="13"/>
  </w:num>
  <w:num w:numId="38" w16cid:durableId="841550709">
    <w:abstractNumId w:val="18"/>
  </w:num>
  <w:num w:numId="39" w16cid:durableId="1245381362">
    <w:abstractNumId w:val="14"/>
  </w:num>
  <w:num w:numId="40" w16cid:durableId="571429838">
    <w:abstractNumId w:val="7"/>
  </w:num>
  <w:num w:numId="41" w16cid:durableId="1355231353">
    <w:abstractNumId w:val="23"/>
  </w:num>
  <w:num w:numId="42" w16cid:durableId="975531153">
    <w:abstractNumId w:val="21"/>
  </w:num>
  <w:num w:numId="43" w16cid:durableId="179636901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41D"/>
    <w:rsid w:val="0000056C"/>
    <w:rsid w:val="000015FC"/>
    <w:rsid w:val="00002D79"/>
    <w:rsid w:val="000124E4"/>
    <w:rsid w:val="00012DBC"/>
    <w:rsid w:val="00014A75"/>
    <w:rsid w:val="00014B29"/>
    <w:rsid w:val="00014EE8"/>
    <w:rsid w:val="000208E1"/>
    <w:rsid w:val="00023C92"/>
    <w:rsid w:val="00024182"/>
    <w:rsid w:val="00026CD2"/>
    <w:rsid w:val="000314CA"/>
    <w:rsid w:val="0003188E"/>
    <w:rsid w:val="00031B4F"/>
    <w:rsid w:val="00033153"/>
    <w:rsid w:val="00035A93"/>
    <w:rsid w:val="000360A3"/>
    <w:rsid w:val="0004039C"/>
    <w:rsid w:val="00040B5E"/>
    <w:rsid w:val="00041440"/>
    <w:rsid w:val="000444E6"/>
    <w:rsid w:val="00044ED8"/>
    <w:rsid w:val="000456D0"/>
    <w:rsid w:val="00046844"/>
    <w:rsid w:val="00054B2B"/>
    <w:rsid w:val="000571A4"/>
    <w:rsid w:val="00060CE1"/>
    <w:rsid w:val="00060E6C"/>
    <w:rsid w:val="00062B00"/>
    <w:rsid w:val="00063375"/>
    <w:rsid w:val="000646A3"/>
    <w:rsid w:val="00065E55"/>
    <w:rsid w:val="00067DCC"/>
    <w:rsid w:val="00072718"/>
    <w:rsid w:val="00076557"/>
    <w:rsid w:val="00076C19"/>
    <w:rsid w:val="00076C43"/>
    <w:rsid w:val="00077407"/>
    <w:rsid w:val="0007793D"/>
    <w:rsid w:val="00077BF0"/>
    <w:rsid w:val="00083CA9"/>
    <w:rsid w:val="00086759"/>
    <w:rsid w:val="00091B6F"/>
    <w:rsid w:val="00091F68"/>
    <w:rsid w:val="00094DF0"/>
    <w:rsid w:val="00097B90"/>
    <w:rsid w:val="000A0A8C"/>
    <w:rsid w:val="000A0ACE"/>
    <w:rsid w:val="000A3589"/>
    <w:rsid w:val="000A435E"/>
    <w:rsid w:val="000A44C7"/>
    <w:rsid w:val="000A4B9B"/>
    <w:rsid w:val="000A76BC"/>
    <w:rsid w:val="000A799C"/>
    <w:rsid w:val="000B0DB3"/>
    <w:rsid w:val="000B24E1"/>
    <w:rsid w:val="000B5DF9"/>
    <w:rsid w:val="000B641D"/>
    <w:rsid w:val="000B7445"/>
    <w:rsid w:val="000C7768"/>
    <w:rsid w:val="000C7E84"/>
    <w:rsid w:val="000D1F27"/>
    <w:rsid w:val="000D42D9"/>
    <w:rsid w:val="000E4BA9"/>
    <w:rsid w:val="000E4CE6"/>
    <w:rsid w:val="000E577B"/>
    <w:rsid w:val="000E6AFE"/>
    <w:rsid w:val="000F02B8"/>
    <w:rsid w:val="00101E8C"/>
    <w:rsid w:val="0010286A"/>
    <w:rsid w:val="001030C0"/>
    <w:rsid w:val="00105D61"/>
    <w:rsid w:val="001078BB"/>
    <w:rsid w:val="00107D0D"/>
    <w:rsid w:val="00110747"/>
    <w:rsid w:val="00112310"/>
    <w:rsid w:val="001137E2"/>
    <w:rsid w:val="001142E1"/>
    <w:rsid w:val="00115B1E"/>
    <w:rsid w:val="001162E0"/>
    <w:rsid w:val="00116C3B"/>
    <w:rsid w:val="00120C90"/>
    <w:rsid w:val="0012152D"/>
    <w:rsid w:val="00122255"/>
    <w:rsid w:val="0012531B"/>
    <w:rsid w:val="001277C0"/>
    <w:rsid w:val="00132B0A"/>
    <w:rsid w:val="001336FB"/>
    <w:rsid w:val="00134A6C"/>
    <w:rsid w:val="00142AC1"/>
    <w:rsid w:val="001547D6"/>
    <w:rsid w:val="00154B9C"/>
    <w:rsid w:val="0016198A"/>
    <w:rsid w:val="00161F02"/>
    <w:rsid w:val="0016644C"/>
    <w:rsid w:val="00166EF1"/>
    <w:rsid w:val="00167101"/>
    <w:rsid w:val="00171196"/>
    <w:rsid w:val="00172EBA"/>
    <w:rsid w:val="00174B7C"/>
    <w:rsid w:val="00175A65"/>
    <w:rsid w:val="00176927"/>
    <w:rsid w:val="001769DC"/>
    <w:rsid w:val="001777BC"/>
    <w:rsid w:val="0018162A"/>
    <w:rsid w:val="00183BC5"/>
    <w:rsid w:val="0018571F"/>
    <w:rsid w:val="00186436"/>
    <w:rsid w:val="00186477"/>
    <w:rsid w:val="00187249"/>
    <w:rsid w:val="00190C91"/>
    <w:rsid w:val="00197F7B"/>
    <w:rsid w:val="001A0F38"/>
    <w:rsid w:val="001A1D73"/>
    <w:rsid w:val="001A2306"/>
    <w:rsid w:val="001A48AA"/>
    <w:rsid w:val="001A5D6A"/>
    <w:rsid w:val="001A6958"/>
    <w:rsid w:val="001B3187"/>
    <w:rsid w:val="001B4D9A"/>
    <w:rsid w:val="001C0872"/>
    <w:rsid w:val="001C1041"/>
    <w:rsid w:val="001C1B77"/>
    <w:rsid w:val="001C1D5D"/>
    <w:rsid w:val="001C40CE"/>
    <w:rsid w:val="001C53F9"/>
    <w:rsid w:val="001C675E"/>
    <w:rsid w:val="001C7016"/>
    <w:rsid w:val="001C7B43"/>
    <w:rsid w:val="001D1A36"/>
    <w:rsid w:val="001D60CB"/>
    <w:rsid w:val="001E17CD"/>
    <w:rsid w:val="001E364F"/>
    <w:rsid w:val="001E3838"/>
    <w:rsid w:val="001E3DB4"/>
    <w:rsid w:val="001E4383"/>
    <w:rsid w:val="001E4779"/>
    <w:rsid w:val="001F08C1"/>
    <w:rsid w:val="001F2104"/>
    <w:rsid w:val="001F3CA9"/>
    <w:rsid w:val="001F3D67"/>
    <w:rsid w:val="001F449F"/>
    <w:rsid w:val="001F6BD8"/>
    <w:rsid w:val="001F75BB"/>
    <w:rsid w:val="001F77F9"/>
    <w:rsid w:val="00200E9F"/>
    <w:rsid w:val="00201F42"/>
    <w:rsid w:val="0020222A"/>
    <w:rsid w:val="00205D2C"/>
    <w:rsid w:val="00207540"/>
    <w:rsid w:val="00211C10"/>
    <w:rsid w:val="00212D08"/>
    <w:rsid w:val="002160B6"/>
    <w:rsid w:val="002166BA"/>
    <w:rsid w:val="00216AC3"/>
    <w:rsid w:val="00217ABC"/>
    <w:rsid w:val="00224179"/>
    <w:rsid w:val="00224669"/>
    <w:rsid w:val="00224AF5"/>
    <w:rsid w:val="002254E3"/>
    <w:rsid w:val="00227304"/>
    <w:rsid w:val="00230B2B"/>
    <w:rsid w:val="00233E3B"/>
    <w:rsid w:val="00234956"/>
    <w:rsid w:val="00236D8F"/>
    <w:rsid w:val="00240171"/>
    <w:rsid w:val="002405FC"/>
    <w:rsid w:val="00241270"/>
    <w:rsid w:val="00242D4C"/>
    <w:rsid w:val="00243293"/>
    <w:rsid w:val="002438DF"/>
    <w:rsid w:val="00244CEB"/>
    <w:rsid w:val="0025297D"/>
    <w:rsid w:val="0025361B"/>
    <w:rsid w:val="00253C6F"/>
    <w:rsid w:val="002560B7"/>
    <w:rsid w:val="00256C76"/>
    <w:rsid w:val="00267015"/>
    <w:rsid w:val="00267E7F"/>
    <w:rsid w:val="00270198"/>
    <w:rsid w:val="0027367B"/>
    <w:rsid w:val="00277B73"/>
    <w:rsid w:val="002823BD"/>
    <w:rsid w:val="00282EDF"/>
    <w:rsid w:val="0028401D"/>
    <w:rsid w:val="0028520B"/>
    <w:rsid w:val="00286294"/>
    <w:rsid w:val="002903D9"/>
    <w:rsid w:val="00291E72"/>
    <w:rsid w:val="0029337C"/>
    <w:rsid w:val="00295682"/>
    <w:rsid w:val="00295870"/>
    <w:rsid w:val="002975E6"/>
    <w:rsid w:val="002A0E40"/>
    <w:rsid w:val="002A0FA7"/>
    <w:rsid w:val="002A1AD9"/>
    <w:rsid w:val="002A2E99"/>
    <w:rsid w:val="002A30B5"/>
    <w:rsid w:val="002A3FFC"/>
    <w:rsid w:val="002A4C02"/>
    <w:rsid w:val="002A7B9C"/>
    <w:rsid w:val="002A7EA7"/>
    <w:rsid w:val="002B0690"/>
    <w:rsid w:val="002B368F"/>
    <w:rsid w:val="002B3877"/>
    <w:rsid w:val="002B4C9F"/>
    <w:rsid w:val="002B4FF8"/>
    <w:rsid w:val="002C010B"/>
    <w:rsid w:val="002C0ED1"/>
    <w:rsid w:val="002C256D"/>
    <w:rsid w:val="002C2962"/>
    <w:rsid w:val="002C340A"/>
    <w:rsid w:val="002C7A12"/>
    <w:rsid w:val="002D3422"/>
    <w:rsid w:val="002D6918"/>
    <w:rsid w:val="002D6A1E"/>
    <w:rsid w:val="002D6D44"/>
    <w:rsid w:val="002D75CE"/>
    <w:rsid w:val="002D7ADB"/>
    <w:rsid w:val="002D7CCE"/>
    <w:rsid w:val="002E0BFC"/>
    <w:rsid w:val="002E13DD"/>
    <w:rsid w:val="002E19A2"/>
    <w:rsid w:val="002E1A19"/>
    <w:rsid w:val="002F0870"/>
    <w:rsid w:val="002F1AA2"/>
    <w:rsid w:val="002F509F"/>
    <w:rsid w:val="002F586D"/>
    <w:rsid w:val="002F772C"/>
    <w:rsid w:val="00304B16"/>
    <w:rsid w:val="00305B90"/>
    <w:rsid w:val="00306C43"/>
    <w:rsid w:val="0030775C"/>
    <w:rsid w:val="00307FF1"/>
    <w:rsid w:val="00310ABF"/>
    <w:rsid w:val="00314015"/>
    <w:rsid w:val="00317598"/>
    <w:rsid w:val="00317A71"/>
    <w:rsid w:val="003211D4"/>
    <w:rsid w:val="00321435"/>
    <w:rsid w:val="00321A19"/>
    <w:rsid w:val="00321CC3"/>
    <w:rsid w:val="00323928"/>
    <w:rsid w:val="003260BA"/>
    <w:rsid w:val="00326E40"/>
    <w:rsid w:val="003272B8"/>
    <w:rsid w:val="00327801"/>
    <w:rsid w:val="00334EA8"/>
    <w:rsid w:val="00337E3E"/>
    <w:rsid w:val="0034007E"/>
    <w:rsid w:val="00341DAD"/>
    <w:rsid w:val="00342C24"/>
    <w:rsid w:val="00344F1D"/>
    <w:rsid w:val="003479FC"/>
    <w:rsid w:val="0035167F"/>
    <w:rsid w:val="003539DB"/>
    <w:rsid w:val="00354ADF"/>
    <w:rsid w:val="00360878"/>
    <w:rsid w:val="00360BE7"/>
    <w:rsid w:val="00360E5E"/>
    <w:rsid w:val="003615D5"/>
    <w:rsid w:val="00361C4F"/>
    <w:rsid w:val="0036308D"/>
    <w:rsid w:val="00363F63"/>
    <w:rsid w:val="00365BBA"/>
    <w:rsid w:val="00365E6B"/>
    <w:rsid w:val="003670C4"/>
    <w:rsid w:val="00367340"/>
    <w:rsid w:val="0037125A"/>
    <w:rsid w:val="003751D1"/>
    <w:rsid w:val="0037681A"/>
    <w:rsid w:val="00381526"/>
    <w:rsid w:val="00381D63"/>
    <w:rsid w:val="00382403"/>
    <w:rsid w:val="00383384"/>
    <w:rsid w:val="0038438B"/>
    <w:rsid w:val="003879AE"/>
    <w:rsid w:val="003901F9"/>
    <w:rsid w:val="0039342E"/>
    <w:rsid w:val="00394CA2"/>
    <w:rsid w:val="00395A3F"/>
    <w:rsid w:val="003A00EB"/>
    <w:rsid w:val="003A1CF0"/>
    <w:rsid w:val="003A56D7"/>
    <w:rsid w:val="003B00A6"/>
    <w:rsid w:val="003B00FA"/>
    <w:rsid w:val="003B2E1C"/>
    <w:rsid w:val="003B3224"/>
    <w:rsid w:val="003B4C0A"/>
    <w:rsid w:val="003B5EBC"/>
    <w:rsid w:val="003C0789"/>
    <w:rsid w:val="003C1CAD"/>
    <w:rsid w:val="003C3C71"/>
    <w:rsid w:val="003C4FF2"/>
    <w:rsid w:val="003C5D44"/>
    <w:rsid w:val="003C78AA"/>
    <w:rsid w:val="003D09FC"/>
    <w:rsid w:val="003D285A"/>
    <w:rsid w:val="003D32B8"/>
    <w:rsid w:val="003D4637"/>
    <w:rsid w:val="003E065B"/>
    <w:rsid w:val="003E1647"/>
    <w:rsid w:val="003E204B"/>
    <w:rsid w:val="003E3AC0"/>
    <w:rsid w:val="003E3BCB"/>
    <w:rsid w:val="003E4982"/>
    <w:rsid w:val="003E49A8"/>
    <w:rsid w:val="003E5621"/>
    <w:rsid w:val="003E76FE"/>
    <w:rsid w:val="003F0F44"/>
    <w:rsid w:val="003F272E"/>
    <w:rsid w:val="003F3AA5"/>
    <w:rsid w:val="003F7BF3"/>
    <w:rsid w:val="0040091F"/>
    <w:rsid w:val="00402ED5"/>
    <w:rsid w:val="00411423"/>
    <w:rsid w:val="00411834"/>
    <w:rsid w:val="00412ED8"/>
    <w:rsid w:val="00415377"/>
    <w:rsid w:val="00416027"/>
    <w:rsid w:val="00416DD0"/>
    <w:rsid w:val="00417060"/>
    <w:rsid w:val="00420229"/>
    <w:rsid w:val="00421408"/>
    <w:rsid w:val="00422561"/>
    <w:rsid w:val="00425184"/>
    <w:rsid w:val="00427A5C"/>
    <w:rsid w:val="0043105E"/>
    <w:rsid w:val="00431DF8"/>
    <w:rsid w:val="00431F4C"/>
    <w:rsid w:val="00434151"/>
    <w:rsid w:val="00435C98"/>
    <w:rsid w:val="00437085"/>
    <w:rsid w:val="00437173"/>
    <w:rsid w:val="004374C7"/>
    <w:rsid w:val="00437F6D"/>
    <w:rsid w:val="00440B30"/>
    <w:rsid w:val="00440E68"/>
    <w:rsid w:val="00442F7B"/>
    <w:rsid w:val="00444CD8"/>
    <w:rsid w:val="0044590F"/>
    <w:rsid w:val="00446BE1"/>
    <w:rsid w:val="00450358"/>
    <w:rsid w:val="00450804"/>
    <w:rsid w:val="004547D5"/>
    <w:rsid w:val="00456D83"/>
    <w:rsid w:val="0046005E"/>
    <w:rsid w:val="004619C2"/>
    <w:rsid w:val="00464382"/>
    <w:rsid w:val="004643A0"/>
    <w:rsid w:val="00464886"/>
    <w:rsid w:val="00467BFC"/>
    <w:rsid w:val="0047620B"/>
    <w:rsid w:val="004775D8"/>
    <w:rsid w:val="00480545"/>
    <w:rsid w:val="00480913"/>
    <w:rsid w:val="00481A80"/>
    <w:rsid w:val="004829A6"/>
    <w:rsid w:val="00483CE5"/>
    <w:rsid w:val="004845F8"/>
    <w:rsid w:val="0048472B"/>
    <w:rsid w:val="00494C38"/>
    <w:rsid w:val="00494FDC"/>
    <w:rsid w:val="004A0A8F"/>
    <w:rsid w:val="004A24CE"/>
    <w:rsid w:val="004A2C9C"/>
    <w:rsid w:val="004A4222"/>
    <w:rsid w:val="004A52BE"/>
    <w:rsid w:val="004A548D"/>
    <w:rsid w:val="004B019F"/>
    <w:rsid w:val="004C045F"/>
    <w:rsid w:val="004C0C76"/>
    <w:rsid w:val="004C1EA4"/>
    <w:rsid w:val="004C4CF3"/>
    <w:rsid w:val="004C5E91"/>
    <w:rsid w:val="004C67B6"/>
    <w:rsid w:val="004C687C"/>
    <w:rsid w:val="004C773A"/>
    <w:rsid w:val="004D02BB"/>
    <w:rsid w:val="004D2D13"/>
    <w:rsid w:val="004D3A93"/>
    <w:rsid w:val="004D439F"/>
    <w:rsid w:val="004D6F3D"/>
    <w:rsid w:val="004E1E8E"/>
    <w:rsid w:val="004E250E"/>
    <w:rsid w:val="004E3142"/>
    <w:rsid w:val="004E6310"/>
    <w:rsid w:val="004E6D23"/>
    <w:rsid w:val="004E7650"/>
    <w:rsid w:val="004F1BD4"/>
    <w:rsid w:val="004F2F8C"/>
    <w:rsid w:val="004F3128"/>
    <w:rsid w:val="004F614E"/>
    <w:rsid w:val="004F6384"/>
    <w:rsid w:val="004F688C"/>
    <w:rsid w:val="004F7C14"/>
    <w:rsid w:val="004F7F10"/>
    <w:rsid w:val="005007F3"/>
    <w:rsid w:val="005018FA"/>
    <w:rsid w:val="00504B2E"/>
    <w:rsid w:val="005057BD"/>
    <w:rsid w:val="00507442"/>
    <w:rsid w:val="00510848"/>
    <w:rsid w:val="005111D0"/>
    <w:rsid w:val="00513CF4"/>
    <w:rsid w:val="00513FB5"/>
    <w:rsid w:val="005156DB"/>
    <w:rsid w:val="00515B9A"/>
    <w:rsid w:val="00516EF7"/>
    <w:rsid w:val="0052037F"/>
    <w:rsid w:val="005247B7"/>
    <w:rsid w:val="00524E3D"/>
    <w:rsid w:val="00526A67"/>
    <w:rsid w:val="005339D4"/>
    <w:rsid w:val="0054199C"/>
    <w:rsid w:val="005458EB"/>
    <w:rsid w:val="00545F41"/>
    <w:rsid w:val="00546FA6"/>
    <w:rsid w:val="005511FC"/>
    <w:rsid w:val="0055166A"/>
    <w:rsid w:val="00551900"/>
    <w:rsid w:val="00552416"/>
    <w:rsid w:val="00553A26"/>
    <w:rsid w:val="0055702F"/>
    <w:rsid w:val="005579DE"/>
    <w:rsid w:val="00557EDA"/>
    <w:rsid w:val="00564B19"/>
    <w:rsid w:val="0056540C"/>
    <w:rsid w:val="0057127F"/>
    <w:rsid w:val="00571BED"/>
    <w:rsid w:val="00572B2D"/>
    <w:rsid w:val="005737B9"/>
    <w:rsid w:val="00575993"/>
    <w:rsid w:val="00581576"/>
    <w:rsid w:val="00584083"/>
    <w:rsid w:val="00586C80"/>
    <w:rsid w:val="0058720D"/>
    <w:rsid w:val="005935D0"/>
    <w:rsid w:val="00595EEA"/>
    <w:rsid w:val="00595FDE"/>
    <w:rsid w:val="005967E0"/>
    <w:rsid w:val="005A23B6"/>
    <w:rsid w:val="005A319C"/>
    <w:rsid w:val="005A354C"/>
    <w:rsid w:val="005A5642"/>
    <w:rsid w:val="005A5C63"/>
    <w:rsid w:val="005A6A9B"/>
    <w:rsid w:val="005C18DE"/>
    <w:rsid w:val="005C2DB6"/>
    <w:rsid w:val="005C437F"/>
    <w:rsid w:val="005C4DAE"/>
    <w:rsid w:val="005D09BA"/>
    <w:rsid w:val="005D2B6B"/>
    <w:rsid w:val="005D2E69"/>
    <w:rsid w:val="005D421E"/>
    <w:rsid w:val="005D4EFF"/>
    <w:rsid w:val="005D5126"/>
    <w:rsid w:val="005D73D6"/>
    <w:rsid w:val="005E180F"/>
    <w:rsid w:val="005E1CA3"/>
    <w:rsid w:val="005E1DDA"/>
    <w:rsid w:val="005E395C"/>
    <w:rsid w:val="005E5738"/>
    <w:rsid w:val="005E5769"/>
    <w:rsid w:val="005E60B8"/>
    <w:rsid w:val="005E704D"/>
    <w:rsid w:val="005F0A6F"/>
    <w:rsid w:val="005F1F45"/>
    <w:rsid w:val="005F4036"/>
    <w:rsid w:val="005F431F"/>
    <w:rsid w:val="0060129B"/>
    <w:rsid w:val="006015B1"/>
    <w:rsid w:val="00601C21"/>
    <w:rsid w:val="00610735"/>
    <w:rsid w:val="00611287"/>
    <w:rsid w:val="0061258A"/>
    <w:rsid w:val="00612B20"/>
    <w:rsid w:val="00612F4D"/>
    <w:rsid w:val="006136CB"/>
    <w:rsid w:val="0062105F"/>
    <w:rsid w:val="0062134E"/>
    <w:rsid w:val="00621495"/>
    <w:rsid w:val="0062226B"/>
    <w:rsid w:val="006273E7"/>
    <w:rsid w:val="006276CC"/>
    <w:rsid w:val="00630FC4"/>
    <w:rsid w:val="00631ABF"/>
    <w:rsid w:val="00632E5C"/>
    <w:rsid w:val="00636422"/>
    <w:rsid w:val="006368D1"/>
    <w:rsid w:val="00643170"/>
    <w:rsid w:val="006434A3"/>
    <w:rsid w:val="00644BE8"/>
    <w:rsid w:val="00645F61"/>
    <w:rsid w:val="006465A3"/>
    <w:rsid w:val="00650F1E"/>
    <w:rsid w:val="00651C87"/>
    <w:rsid w:val="0065531D"/>
    <w:rsid w:val="00656141"/>
    <w:rsid w:val="00656152"/>
    <w:rsid w:val="00656B2C"/>
    <w:rsid w:val="00657685"/>
    <w:rsid w:val="00657F43"/>
    <w:rsid w:val="00660098"/>
    <w:rsid w:val="006627E4"/>
    <w:rsid w:val="0066314C"/>
    <w:rsid w:val="006708BB"/>
    <w:rsid w:val="00670E8B"/>
    <w:rsid w:val="00674DAF"/>
    <w:rsid w:val="00676245"/>
    <w:rsid w:val="00676785"/>
    <w:rsid w:val="00677BF6"/>
    <w:rsid w:val="00677E14"/>
    <w:rsid w:val="0068026C"/>
    <w:rsid w:val="0068297E"/>
    <w:rsid w:val="006839C7"/>
    <w:rsid w:val="00685161"/>
    <w:rsid w:val="00685A4E"/>
    <w:rsid w:val="00686E9E"/>
    <w:rsid w:val="0069099D"/>
    <w:rsid w:val="006918D6"/>
    <w:rsid w:val="00692D10"/>
    <w:rsid w:val="0069325D"/>
    <w:rsid w:val="00694270"/>
    <w:rsid w:val="006957DC"/>
    <w:rsid w:val="006A10A8"/>
    <w:rsid w:val="006A6097"/>
    <w:rsid w:val="006B0E3E"/>
    <w:rsid w:val="006B7930"/>
    <w:rsid w:val="006C0072"/>
    <w:rsid w:val="006C2029"/>
    <w:rsid w:val="006C2D33"/>
    <w:rsid w:val="006C37B0"/>
    <w:rsid w:val="006C5C56"/>
    <w:rsid w:val="006D09B1"/>
    <w:rsid w:val="006D0CF0"/>
    <w:rsid w:val="006D199E"/>
    <w:rsid w:val="006D2D27"/>
    <w:rsid w:val="006E3B0F"/>
    <w:rsid w:val="006F0354"/>
    <w:rsid w:val="006F0E92"/>
    <w:rsid w:val="006F16B9"/>
    <w:rsid w:val="006F2B85"/>
    <w:rsid w:val="006F2DFF"/>
    <w:rsid w:val="006F43EF"/>
    <w:rsid w:val="006F4A92"/>
    <w:rsid w:val="006F6088"/>
    <w:rsid w:val="006F795C"/>
    <w:rsid w:val="0070084F"/>
    <w:rsid w:val="0070089D"/>
    <w:rsid w:val="00701822"/>
    <w:rsid w:val="0070510C"/>
    <w:rsid w:val="0071054D"/>
    <w:rsid w:val="00711172"/>
    <w:rsid w:val="00711743"/>
    <w:rsid w:val="007119F0"/>
    <w:rsid w:val="007126CC"/>
    <w:rsid w:val="007142B0"/>
    <w:rsid w:val="00721F03"/>
    <w:rsid w:val="0072637D"/>
    <w:rsid w:val="007321CD"/>
    <w:rsid w:val="0073471A"/>
    <w:rsid w:val="00742167"/>
    <w:rsid w:val="007422BD"/>
    <w:rsid w:val="00743B8F"/>
    <w:rsid w:val="00744445"/>
    <w:rsid w:val="00750A3A"/>
    <w:rsid w:val="00752F02"/>
    <w:rsid w:val="007540AC"/>
    <w:rsid w:val="00754D48"/>
    <w:rsid w:val="0075501B"/>
    <w:rsid w:val="007566B4"/>
    <w:rsid w:val="00760D64"/>
    <w:rsid w:val="007630A7"/>
    <w:rsid w:val="00764F9C"/>
    <w:rsid w:val="0076523B"/>
    <w:rsid w:val="00765DE7"/>
    <w:rsid w:val="00767152"/>
    <w:rsid w:val="0076752F"/>
    <w:rsid w:val="00767CD3"/>
    <w:rsid w:val="007703A1"/>
    <w:rsid w:val="00774C39"/>
    <w:rsid w:val="00774CFA"/>
    <w:rsid w:val="00775529"/>
    <w:rsid w:val="00780CE8"/>
    <w:rsid w:val="00783950"/>
    <w:rsid w:val="00785004"/>
    <w:rsid w:val="00787BA8"/>
    <w:rsid w:val="007901B9"/>
    <w:rsid w:val="00791B58"/>
    <w:rsid w:val="00791F11"/>
    <w:rsid w:val="00791F92"/>
    <w:rsid w:val="00794264"/>
    <w:rsid w:val="00795527"/>
    <w:rsid w:val="00796B0C"/>
    <w:rsid w:val="00797DA5"/>
    <w:rsid w:val="007A00D4"/>
    <w:rsid w:val="007A1A3C"/>
    <w:rsid w:val="007A4D64"/>
    <w:rsid w:val="007A5784"/>
    <w:rsid w:val="007A6BD0"/>
    <w:rsid w:val="007A7084"/>
    <w:rsid w:val="007A7C46"/>
    <w:rsid w:val="007B2FC6"/>
    <w:rsid w:val="007B34A6"/>
    <w:rsid w:val="007B51FF"/>
    <w:rsid w:val="007B5338"/>
    <w:rsid w:val="007C282F"/>
    <w:rsid w:val="007C2889"/>
    <w:rsid w:val="007C3259"/>
    <w:rsid w:val="007C4820"/>
    <w:rsid w:val="007C7312"/>
    <w:rsid w:val="007D08A7"/>
    <w:rsid w:val="007D312A"/>
    <w:rsid w:val="007D32FE"/>
    <w:rsid w:val="007D75BB"/>
    <w:rsid w:val="007D784F"/>
    <w:rsid w:val="007D7F18"/>
    <w:rsid w:val="007E2C2E"/>
    <w:rsid w:val="007E2CFF"/>
    <w:rsid w:val="007E3505"/>
    <w:rsid w:val="007E776E"/>
    <w:rsid w:val="007E7CC8"/>
    <w:rsid w:val="007F0B13"/>
    <w:rsid w:val="007F12ED"/>
    <w:rsid w:val="007F3A12"/>
    <w:rsid w:val="007F4381"/>
    <w:rsid w:val="007F454E"/>
    <w:rsid w:val="007F7423"/>
    <w:rsid w:val="007F7FFD"/>
    <w:rsid w:val="008040D6"/>
    <w:rsid w:val="0080725E"/>
    <w:rsid w:val="00807E14"/>
    <w:rsid w:val="00810CA3"/>
    <w:rsid w:val="00817D66"/>
    <w:rsid w:val="00821C08"/>
    <w:rsid w:val="008226D5"/>
    <w:rsid w:val="00826E17"/>
    <w:rsid w:val="00835625"/>
    <w:rsid w:val="00840B01"/>
    <w:rsid w:val="0084575D"/>
    <w:rsid w:val="0084631A"/>
    <w:rsid w:val="0084711F"/>
    <w:rsid w:val="00850569"/>
    <w:rsid w:val="0085093C"/>
    <w:rsid w:val="00852508"/>
    <w:rsid w:val="00852ECD"/>
    <w:rsid w:val="008536B4"/>
    <w:rsid w:val="0085513C"/>
    <w:rsid w:val="00856109"/>
    <w:rsid w:val="008575B6"/>
    <w:rsid w:val="00857626"/>
    <w:rsid w:val="00857BBE"/>
    <w:rsid w:val="008640F8"/>
    <w:rsid w:val="00865BDA"/>
    <w:rsid w:val="0086668D"/>
    <w:rsid w:val="0086781B"/>
    <w:rsid w:val="00870E0E"/>
    <w:rsid w:val="00872BC5"/>
    <w:rsid w:val="0087351C"/>
    <w:rsid w:val="008739E3"/>
    <w:rsid w:val="0087428A"/>
    <w:rsid w:val="00880E91"/>
    <w:rsid w:val="0088181F"/>
    <w:rsid w:val="00884D92"/>
    <w:rsid w:val="00884FFA"/>
    <w:rsid w:val="008857C7"/>
    <w:rsid w:val="008869FA"/>
    <w:rsid w:val="00886A1D"/>
    <w:rsid w:val="008931E9"/>
    <w:rsid w:val="00893E60"/>
    <w:rsid w:val="00894CF4"/>
    <w:rsid w:val="00895C51"/>
    <w:rsid w:val="00895EBC"/>
    <w:rsid w:val="008A0AA1"/>
    <w:rsid w:val="008A24FB"/>
    <w:rsid w:val="008A55FE"/>
    <w:rsid w:val="008B0353"/>
    <w:rsid w:val="008B0734"/>
    <w:rsid w:val="008B4867"/>
    <w:rsid w:val="008B679A"/>
    <w:rsid w:val="008B774C"/>
    <w:rsid w:val="008C36E4"/>
    <w:rsid w:val="008D1D8E"/>
    <w:rsid w:val="008E2FD3"/>
    <w:rsid w:val="008E5CA3"/>
    <w:rsid w:val="008E7245"/>
    <w:rsid w:val="008E7869"/>
    <w:rsid w:val="008F1EB1"/>
    <w:rsid w:val="008F2390"/>
    <w:rsid w:val="008F4CF0"/>
    <w:rsid w:val="008F63BA"/>
    <w:rsid w:val="008F7542"/>
    <w:rsid w:val="009020EC"/>
    <w:rsid w:val="009028D8"/>
    <w:rsid w:val="009039C4"/>
    <w:rsid w:val="00904325"/>
    <w:rsid w:val="0090705E"/>
    <w:rsid w:val="00907750"/>
    <w:rsid w:val="0091005C"/>
    <w:rsid w:val="009112B1"/>
    <w:rsid w:val="00911CFC"/>
    <w:rsid w:val="00914BF9"/>
    <w:rsid w:val="00915169"/>
    <w:rsid w:val="00916F96"/>
    <w:rsid w:val="00917B5C"/>
    <w:rsid w:val="00917CAF"/>
    <w:rsid w:val="0092334D"/>
    <w:rsid w:val="009275C7"/>
    <w:rsid w:val="00927A26"/>
    <w:rsid w:val="00933E3D"/>
    <w:rsid w:val="00934838"/>
    <w:rsid w:val="00940E28"/>
    <w:rsid w:val="00941E4B"/>
    <w:rsid w:val="009466E7"/>
    <w:rsid w:val="00947856"/>
    <w:rsid w:val="00947D9C"/>
    <w:rsid w:val="00950118"/>
    <w:rsid w:val="00951E00"/>
    <w:rsid w:val="00952F15"/>
    <w:rsid w:val="009531BC"/>
    <w:rsid w:val="009533D5"/>
    <w:rsid w:val="00953BC9"/>
    <w:rsid w:val="0095606D"/>
    <w:rsid w:val="00956C1E"/>
    <w:rsid w:val="0096349E"/>
    <w:rsid w:val="00966A9E"/>
    <w:rsid w:val="00967C8A"/>
    <w:rsid w:val="00970D73"/>
    <w:rsid w:val="00973863"/>
    <w:rsid w:val="00975BDB"/>
    <w:rsid w:val="00976E94"/>
    <w:rsid w:val="00980BCA"/>
    <w:rsid w:val="009817DA"/>
    <w:rsid w:val="00981D5F"/>
    <w:rsid w:val="009854C7"/>
    <w:rsid w:val="00987282"/>
    <w:rsid w:val="00987354"/>
    <w:rsid w:val="009873AC"/>
    <w:rsid w:val="009875E3"/>
    <w:rsid w:val="009879F8"/>
    <w:rsid w:val="00992395"/>
    <w:rsid w:val="009952A1"/>
    <w:rsid w:val="0099596F"/>
    <w:rsid w:val="009963D4"/>
    <w:rsid w:val="009A29C5"/>
    <w:rsid w:val="009A563E"/>
    <w:rsid w:val="009A6AF0"/>
    <w:rsid w:val="009A6EE7"/>
    <w:rsid w:val="009B13A9"/>
    <w:rsid w:val="009B1ED8"/>
    <w:rsid w:val="009B3A6D"/>
    <w:rsid w:val="009B42CE"/>
    <w:rsid w:val="009B53B7"/>
    <w:rsid w:val="009C1095"/>
    <w:rsid w:val="009D36A2"/>
    <w:rsid w:val="009D571E"/>
    <w:rsid w:val="009D7D9F"/>
    <w:rsid w:val="009E10BE"/>
    <w:rsid w:val="009E1254"/>
    <w:rsid w:val="009E15E3"/>
    <w:rsid w:val="009E16B1"/>
    <w:rsid w:val="009E220F"/>
    <w:rsid w:val="009E2F49"/>
    <w:rsid w:val="009E4E1D"/>
    <w:rsid w:val="009E5A64"/>
    <w:rsid w:val="009E5F26"/>
    <w:rsid w:val="009E60E0"/>
    <w:rsid w:val="009F11F9"/>
    <w:rsid w:val="009F3039"/>
    <w:rsid w:val="009F4144"/>
    <w:rsid w:val="009F52D9"/>
    <w:rsid w:val="00A00BCC"/>
    <w:rsid w:val="00A00C42"/>
    <w:rsid w:val="00A0126A"/>
    <w:rsid w:val="00A01D36"/>
    <w:rsid w:val="00A038F2"/>
    <w:rsid w:val="00A0422F"/>
    <w:rsid w:val="00A0615E"/>
    <w:rsid w:val="00A11118"/>
    <w:rsid w:val="00A1150D"/>
    <w:rsid w:val="00A215B3"/>
    <w:rsid w:val="00A21709"/>
    <w:rsid w:val="00A22F81"/>
    <w:rsid w:val="00A2457F"/>
    <w:rsid w:val="00A2464A"/>
    <w:rsid w:val="00A26D38"/>
    <w:rsid w:val="00A276FA"/>
    <w:rsid w:val="00A32CDF"/>
    <w:rsid w:val="00A33A25"/>
    <w:rsid w:val="00A34E15"/>
    <w:rsid w:val="00A3641D"/>
    <w:rsid w:val="00A36743"/>
    <w:rsid w:val="00A4265C"/>
    <w:rsid w:val="00A45141"/>
    <w:rsid w:val="00A46CA0"/>
    <w:rsid w:val="00A50D00"/>
    <w:rsid w:val="00A514EE"/>
    <w:rsid w:val="00A53A34"/>
    <w:rsid w:val="00A53ED6"/>
    <w:rsid w:val="00A5575A"/>
    <w:rsid w:val="00A604A0"/>
    <w:rsid w:val="00A60782"/>
    <w:rsid w:val="00A620B2"/>
    <w:rsid w:val="00A63CD8"/>
    <w:rsid w:val="00A717D3"/>
    <w:rsid w:val="00A72014"/>
    <w:rsid w:val="00A75C3D"/>
    <w:rsid w:val="00A77B0F"/>
    <w:rsid w:val="00A804D9"/>
    <w:rsid w:val="00A82753"/>
    <w:rsid w:val="00A82DE1"/>
    <w:rsid w:val="00A851A4"/>
    <w:rsid w:val="00A85F13"/>
    <w:rsid w:val="00A927F2"/>
    <w:rsid w:val="00A94607"/>
    <w:rsid w:val="00A954A0"/>
    <w:rsid w:val="00A97D57"/>
    <w:rsid w:val="00AA254A"/>
    <w:rsid w:val="00AA2E8D"/>
    <w:rsid w:val="00AA3B1A"/>
    <w:rsid w:val="00AA54BD"/>
    <w:rsid w:val="00AA5950"/>
    <w:rsid w:val="00AB3923"/>
    <w:rsid w:val="00AB3CDC"/>
    <w:rsid w:val="00AB589C"/>
    <w:rsid w:val="00AC5AA2"/>
    <w:rsid w:val="00AC5C16"/>
    <w:rsid w:val="00AC5E55"/>
    <w:rsid w:val="00AC65A3"/>
    <w:rsid w:val="00AC69B8"/>
    <w:rsid w:val="00AC7494"/>
    <w:rsid w:val="00AD2503"/>
    <w:rsid w:val="00AD3984"/>
    <w:rsid w:val="00AD46D7"/>
    <w:rsid w:val="00AD56BA"/>
    <w:rsid w:val="00AD7BC8"/>
    <w:rsid w:val="00AE000B"/>
    <w:rsid w:val="00AE1221"/>
    <w:rsid w:val="00AE1AE9"/>
    <w:rsid w:val="00AE1E8C"/>
    <w:rsid w:val="00AE22AB"/>
    <w:rsid w:val="00AE342C"/>
    <w:rsid w:val="00AE75DC"/>
    <w:rsid w:val="00AF0759"/>
    <w:rsid w:val="00AF5373"/>
    <w:rsid w:val="00AF5DEB"/>
    <w:rsid w:val="00AF7F36"/>
    <w:rsid w:val="00B00A10"/>
    <w:rsid w:val="00B03652"/>
    <w:rsid w:val="00B03F29"/>
    <w:rsid w:val="00B046A3"/>
    <w:rsid w:val="00B0759B"/>
    <w:rsid w:val="00B07B6D"/>
    <w:rsid w:val="00B17382"/>
    <w:rsid w:val="00B2226D"/>
    <w:rsid w:val="00B23592"/>
    <w:rsid w:val="00B23C1A"/>
    <w:rsid w:val="00B27E9D"/>
    <w:rsid w:val="00B30E16"/>
    <w:rsid w:val="00B3468A"/>
    <w:rsid w:val="00B37441"/>
    <w:rsid w:val="00B40F36"/>
    <w:rsid w:val="00B42EA1"/>
    <w:rsid w:val="00B438EF"/>
    <w:rsid w:val="00B4699B"/>
    <w:rsid w:val="00B501F1"/>
    <w:rsid w:val="00B50F7F"/>
    <w:rsid w:val="00B53C37"/>
    <w:rsid w:val="00B67A81"/>
    <w:rsid w:val="00B72912"/>
    <w:rsid w:val="00B74301"/>
    <w:rsid w:val="00B7557B"/>
    <w:rsid w:val="00B76B85"/>
    <w:rsid w:val="00B87383"/>
    <w:rsid w:val="00B87A42"/>
    <w:rsid w:val="00B90D3A"/>
    <w:rsid w:val="00B9144F"/>
    <w:rsid w:val="00B92C11"/>
    <w:rsid w:val="00B94836"/>
    <w:rsid w:val="00B9648F"/>
    <w:rsid w:val="00B9790D"/>
    <w:rsid w:val="00BA06BC"/>
    <w:rsid w:val="00BA1AE1"/>
    <w:rsid w:val="00BA573A"/>
    <w:rsid w:val="00BB1771"/>
    <w:rsid w:val="00BB2D2B"/>
    <w:rsid w:val="00BB3AE2"/>
    <w:rsid w:val="00BB6098"/>
    <w:rsid w:val="00BB7440"/>
    <w:rsid w:val="00BC1EE6"/>
    <w:rsid w:val="00BC2542"/>
    <w:rsid w:val="00BC6110"/>
    <w:rsid w:val="00BC7DAE"/>
    <w:rsid w:val="00BD04C4"/>
    <w:rsid w:val="00BD11C2"/>
    <w:rsid w:val="00BD16ED"/>
    <w:rsid w:val="00BE0F00"/>
    <w:rsid w:val="00BE11E6"/>
    <w:rsid w:val="00BE160B"/>
    <w:rsid w:val="00BE36AE"/>
    <w:rsid w:val="00BE7E5C"/>
    <w:rsid w:val="00BF2087"/>
    <w:rsid w:val="00BF2AD5"/>
    <w:rsid w:val="00BF4DE4"/>
    <w:rsid w:val="00BF6BD5"/>
    <w:rsid w:val="00BF776B"/>
    <w:rsid w:val="00C00586"/>
    <w:rsid w:val="00C06377"/>
    <w:rsid w:val="00C117C0"/>
    <w:rsid w:val="00C127C5"/>
    <w:rsid w:val="00C13FB4"/>
    <w:rsid w:val="00C16126"/>
    <w:rsid w:val="00C16129"/>
    <w:rsid w:val="00C17EE0"/>
    <w:rsid w:val="00C2112E"/>
    <w:rsid w:val="00C220DC"/>
    <w:rsid w:val="00C222D9"/>
    <w:rsid w:val="00C2633A"/>
    <w:rsid w:val="00C263FD"/>
    <w:rsid w:val="00C32C80"/>
    <w:rsid w:val="00C343FD"/>
    <w:rsid w:val="00C40099"/>
    <w:rsid w:val="00C4055A"/>
    <w:rsid w:val="00C40900"/>
    <w:rsid w:val="00C45648"/>
    <w:rsid w:val="00C46CF8"/>
    <w:rsid w:val="00C50235"/>
    <w:rsid w:val="00C51526"/>
    <w:rsid w:val="00C6283C"/>
    <w:rsid w:val="00C63191"/>
    <w:rsid w:val="00C64A93"/>
    <w:rsid w:val="00C64F26"/>
    <w:rsid w:val="00C64FD3"/>
    <w:rsid w:val="00C6672E"/>
    <w:rsid w:val="00C71D68"/>
    <w:rsid w:val="00C76B1C"/>
    <w:rsid w:val="00C81DAF"/>
    <w:rsid w:val="00C83820"/>
    <w:rsid w:val="00C83E91"/>
    <w:rsid w:val="00C86EF8"/>
    <w:rsid w:val="00C8708C"/>
    <w:rsid w:val="00C94A00"/>
    <w:rsid w:val="00C9663B"/>
    <w:rsid w:val="00CA498F"/>
    <w:rsid w:val="00CA5164"/>
    <w:rsid w:val="00CB0A0D"/>
    <w:rsid w:val="00CB19AF"/>
    <w:rsid w:val="00CB262A"/>
    <w:rsid w:val="00CB3185"/>
    <w:rsid w:val="00CB3C04"/>
    <w:rsid w:val="00CB4E38"/>
    <w:rsid w:val="00CB53A2"/>
    <w:rsid w:val="00CB633F"/>
    <w:rsid w:val="00CB6BE9"/>
    <w:rsid w:val="00CB6F4D"/>
    <w:rsid w:val="00CB7DCC"/>
    <w:rsid w:val="00CC223B"/>
    <w:rsid w:val="00CC2FD8"/>
    <w:rsid w:val="00CC34EF"/>
    <w:rsid w:val="00CC439E"/>
    <w:rsid w:val="00CC533C"/>
    <w:rsid w:val="00CC7B48"/>
    <w:rsid w:val="00CD0404"/>
    <w:rsid w:val="00CD09F3"/>
    <w:rsid w:val="00CD59A2"/>
    <w:rsid w:val="00CD5CCD"/>
    <w:rsid w:val="00CD661E"/>
    <w:rsid w:val="00CD68CF"/>
    <w:rsid w:val="00CD6A69"/>
    <w:rsid w:val="00CE542B"/>
    <w:rsid w:val="00CE5B41"/>
    <w:rsid w:val="00CE6AD8"/>
    <w:rsid w:val="00CE6E88"/>
    <w:rsid w:val="00CE70E1"/>
    <w:rsid w:val="00CF1EA9"/>
    <w:rsid w:val="00CF2B54"/>
    <w:rsid w:val="00CF51E9"/>
    <w:rsid w:val="00CF6608"/>
    <w:rsid w:val="00D01DB2"/>
    <w:rsid w:val="00D03D45"/>
    <w:rsid w:val="00D040EB"/>
    <w:rsid w:val="00D15767"/>
    <w:rsid w:val="00D16857"/>
    <w:rsid w:val="00D16EA6"/>
    <w:rsid w:val="00D17750"/>
    <w:rsid w:val="00D213DE"/>
    <w:rsid w:val="00D21633"/>
    <w:rsid w:val="00D22EF9"/>
    <w:rsid w:val="00D2482A"/>
    <w:rsid w:val="00D319BF"/>
    <w:rsid w:val="00D33448"/>
    <w:rsid w:val="00D41BFF"/>
    <w:rsid w:val="00D4515D"/>
    <w:rsid w:val="00D455C3"/>
    <w:rsid w:val="00D46A68"/>
    <w:rsid w:val="00D5092B"/>
    <w:rsid w:val="00D5417F"/>
    <w:rsid w:val="00D5488F"/>
    <w:rsid w:val="00D54E36"/>
    <w:rsid w:val="00D603EF"/>
    <w:rsid w:val="00D60D79"/>
    <w:rsid w:val="00D64017"/>
    <w:rsid w:val="00D65174"/>
    <w:rsid w:val="00D65C45"/>
    <w:rsid w:val="00D671C1"/>
    <w:rsid w:val="00D67357"/>
    <w:rsid w:val="00D7164F"/>
    <w:rsid w:val="00D71A5C"/>
    <w:rsid w:val="00D93D03"/>
    <w:rsid w:val="00D942B4"/>
    <w:rsid w:val="00D944C3"/>
    <w:rsid w:val="00D94E0A"/>
    <w:rsid w:val="00D956A6"/>
    <w:rsid w:val="00D95704"/>
    <w:rsid w:val="00D96C64"/>
    <w:rsid w:val="00D96DFA"/>
    <w:rsid w:val="00D97401"/>
    <w:rsid w:val="00D97E68"/>
    <w:rsid w:val="00DA1F41"/>
    <w:rsid w:val="00DA5366"/>
    <w:rsid w:val="00DA6F9D"/>
    <w:rsid w:val="00DA75C7"/>
    <w:rsid w:val="00DA7C1B"/>
    <w:rsid w:val="00DB1D77"/>
    <w:rsid w:val="00DB1E62"/>
    <w:rsid w:val="00DB5C08"/>
    <w:rsid w:val="00DC323F"/>
    <w:rsid w:val="00DD01AC"/>
    <w:rsid w:val="00DD19C9"/>
    <w:rsid w:val="00DD1BDB"/>
    <w:rsid w:val="00DD1C5F"/>
    <w:rsid w:val="00DD58AC"/>
    <w:rsid w:val="00DD6BA2"/>
    <w:rsid w:val="00DE0219"/>
    <w:rsid w:val="00DE44F6"/>
    <w:rsid w:val="00DE5F4B"/>
    <w:rsid w:val="00DE63F5"/>
    <w:rsid w:val="00DE6AC4"/>
    <w:rsid w:val="00DF0868"/>
    <w:rsid w:val="00DF0B49"/>
    <w:rsid w:val="00DF317E"/>
    <w:rsid w:val="00DF368D"/>
    <w:rsid w:val="00DF41EC"/>
    <w:rsid w:val="00DF6C3E"/>
    <w:rsid w:val="00E039D2"/>
    <w:rsid w:val="00E04782"/>
    <w:rsid w:val="00E058EE"/>
    <w:rsid w:val="00E07014"/>
    <w:rsid w:val="00E07519"/>
    <w:rsid w:val="00E1076C"/>
    <w:rsid w:val="00E107AB"/>
    <w:rsid w:val="00E11883"/>
    <w:rsid w:val="00E1329D"/>
    <w:rsid w:val="00E1546B"/>
    <w:rsid w:val="00E16BD9"/>
    <w:rsid w:val="00E212B8"/>
    <w:rsid w:val="00E23D0D"/>
    <w:rsid w:val="00E23DB8"/>
    <w:rsid w:val="00E24FCE"/>
    <w:rsid w:val="00E25B34"/>
    <w:rsid w:val="00E264BA"/>
    <w:rsid w:val="00E26C27"/>
    <w:rsid w:val="00E3207C"/>
    <w:rsid w:val="00E339E3"/>
    <w:rsid w:val="00E3520B"/>
    <w:rsid w:val="00E3527B"/>
    <w:rsid w:val="00E3695B"/>
    <w:rsid w:val="00E371D4"/>
    <w:rsid w:val="00E42CD4"/>
    <w:rsid w:val="00E4558B"/>
    <w:rsid w:val="00E4670C"/>
    <w:rsid w:val="00E500BE"/>
    <w:rsid w:val="00E50728"/>
    <w:rsid w:val="00E51898"/>
    <w:rsid w:val="00E51F1F"/>
    <w:rsid w:val="00E53DCA"/>
    <w:rsid w:val="00E54B11"/>
    <w:rsid w:val="00E573D4"/>
    <w:rsid w:val="00E608C4"/>
    <w:rsid w:val="00E630E1"/>
    <w:rsid w:val="00E63C72"/>
    <w:rsid w:val="00E65A09"/>
    <w:rsid w:val="00E66A7B"/>
    <w:rsid w:val="00E706F3"/>
    <w:rsid w:val="00E716F4"/>
    <w:rsid w:val="00E7374B"/>
    <w:rsid w:val="00E82672"/>
    <w:rsid w:val="00E82F0E"/>
    <w:rsid w:val="00E83D7D"/>
    <w:rsid w:val="00E9002F"/>
    <w:rsid w:val="00E92CCD"/>
    <w:rsid w:val="00E93F7E"/>
    <w:rsid w:val="00E956C9"/>
    <w:rsid w:val="00E96EA5"/>
    <w:rsid w:val="00E97F37"/>
    <w:rsid w:val="00E97FE5"/>
    <w:rsid w:val="00EA2A5A"/>
    <w:rsid w:val="00EA4E1B"/>
    <w:rsid w:val="00EA5683"/>
    <w:rsid w:val="00EA71EF"/>
    <w:rsid w:val="00EA751A"/>
    <w:rsid w:val="00EB0541"/>
    <w:rsid w:val="00EB0600"/>
    <w:rsid w:val="00EB3B48"/>
    <w:rsid w:val="00EB404A"/>
    <w:rsid w:val="00EB4647"/>
    <w:rsid w:val="00EB59BF"/>
    <w:rsid w:val="00EB71A9"/>
    <w:rsid w:val="00EC09E1"/>
    <w:rsid w:val="00EC0AE6"/>
    <w:rsid w:val="00EC1D7A"/>
    <w:rsid w:val="00EC29F2"/>
    <w:rsid w:val="00EC4A4B"/>
    <w:rsid w:val="00EC566A"/>
    <w:rsid w:val="00ED0857"/>
    <w:rsid w:val="00ED0F4B"/>
    <w:rsid w:val="00ED1491"/>
    <w:rsid w:val="00ED19AD"/>
    <w:rsid w:val="00ED1C93"/>
    <w:rsid w:val="00ED5DFA"/>
    <w:rsid w:val="00ED70F4"/>
    <w:rsid w:val="00EE02FA"/>
    <w:rsid w:val="00EE1A56"/>
    <w:rsid w:val="00EE1BE9"/>
    <w:rsid w:val="00EE29A0"/>
    <w:rsid w:val="00EE4E67"/>
    <w:rsid w:val="00EE4FAA"/>
    <w:rsid w:val="00EE5DB6"/>
    <w:rsid w:val="00EE6593"/>
    <w:rsid w:val="00EF180C"/>
    <w:rsid w:val="00EF3052"/>
    <w:rsid w:val="00EF44E6"/>
    <w:rsid w:val="00EF5368"/>
    <w:rsid w:val="00F0261D"/>
    <w:rsid w:val="00F03C86"/>
    <w:rsid w:val="00F06AAE"/>
    <w:rsid w:val="00F11B18"/>
    <w:rsid w:val="00F14E09"/>
    <w:rsid w:val="00F1568D"/>
    <w:rsid w:val="00F167FA"/>
    <w:rsid w:val="00F20DE7"/>
    <w:rsid w:val="00F24F35"/>
    <w:rsid w:val="00F25742"/>
    <w:rsid w:val="00F27298"/>
    <w:rsid w:val="00F2760E"/>
    <w:rsid w:val="00F30B81"/>
    <w:rsid w:val="00F31ACA"/>
    <w:rsid w:val="00F31D66"/>
    <w:rsid w:val="00F31FD6"/>
    <w:rsid w:val="00F33724"/>
    <w:rsid w:val="00F4373C"/>
    <w:rsid w:val="00F452C6"/>
    <w:rsid w:val="00F47E9D"/>
    <w:rsid w:val="00F509B4"/>
    <w:rsid w:val="00F51CDB"/>
    <w:rsid w:val="00F525E6"/>
    <w:rsid w:val="00F536D6"/>
    <w:rsid w:val="00F54EBE"/>
    <w:rsid w:val="00F5788A"/>
    <w:rsid w:val="00F60DF8"/>
    <w:rsid w:val="00F64906"/>
    <w:rsid w:val="00F66DF4"/>
    <w:rsid w:val="00F703AA"/>
    <w:rsid w:val="00F703FD"/>
    <w:rsid w:val="00F7040E"/>
    <w:rsid w:val="00F711A5"/>
    <w:rsid w:val="00F75D6A"/>
    <w:rsid w:val="00F770DE"/>
    <w:rsid w:val="00F8219F"/>
    <w:rsid w:val="00F83F19"/>
    <w:rsid w:val="00F93BD3"/>
    <w:rsid w:val="00F94B64"/>
    <w:rsid w:val="00F9674A"/>
    <w:rsid w:val="00F96D1B"/>
    <w:rsid w:val="00F96D34"/>
    <w:rsid w:val="00F97D48"/>
    <w:rsid w:val="00FA19D3"/>
    <w:rsid w:val="00FA2E68"/>
    <w:rsid w:val="00FA35CE"/>
    <w:rsid w:val="00FA6F38"/>
    <w:rsid w:val="00FA7913"/>
    <w:rsid w:val="00FB1E63"/>
    <w:rsid w:val="00FB5114"/>
    <w:rsid w:val="00FB5832"/>
    <w:rsid w:val="00FC41C7"/>
    <w:rsid w:val="00FC5634"/>
    <w:rsid w:val="00FD0281"/>
    <w:rsid w:val="00FD0FA5"/>
    <w:rsid w:val="00FD2EB2"/>
    <w:rsid w:val="00FD34E5"/>
    <w:rsid w:val="00FD6092"/>
    <w:rsid w:val="00FE110C"/>
    <w:rsid w:val="00FE2733"/>
    <w:rsid w:val="00FE6E32"/>
    <w:rsid w:val="00FF1F9C"/>
    <w:rsid w:val="00FF5C56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894BD"/>
  <w15:docId w15:val="{7BEA1269-A855-4396-BAF2-EF834A16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4D0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44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customStyle="1" w:styleId="menfont">
    <w:name w:val="men font"/>
    <w:basedOn w:val="Normalny"/>
    <w:rsid w:val="00267E7F"/>
    <w:pPr>
      <w:spacing w:after="0" w:line="24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25742"/>
    <w:rPr>
      <w:i/>
      <w:iCs/>
    </w:rPr>
  </w:style>
  <w:style w:type="character" w:styleId="Pogrubienie">
    <w:name w:val="Strong"/>
    <w:basedOn w:val="Domylnaczcionkaakapitu"/>
    <w:uiPriority w:val="22"/>
    <w:qFormat/>
    <w:rsid w:val="00F25742"/>
    <w:rPr>
      <w:b/>
      <w:bCs/>
    </w:rPr>
  </w:style>
  <w:style w:type="paragraph" w:styleId="Akapitzlist">
    <w:name w:val="List Paragraph"/>
    <w:basedOn w:val="Normalny"/>
    <w:uiPriority w:val="34"/>
    <w:qFormat/>
    <w:rsid w:val="002D691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2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ighlight-disabled">
    <w:name w:val="highlight-disabled"/>
    <w:basedOn w:val="Domylnaczcionkaakapitu"/>
    <w:rsid w:val="004D02BB"/>
  </w:style>
  <w:style w:type="paragraph" w:customStyle="1" w:styleId="mainpub">
    <w:name w:val="mainpub"/>
    <w:basedOn w:val="Normalny"/>
    <w:rsid w:val="004D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D02BB"/>
    <w:rPr>
      <w:color w:val="0000FF"/>
      <w:u w:val="single"/>
    </w:rPr>
  </w:style>
  <w:style w:type="character" w:customStyle="1" w:styleId="articletitle">
    <w:name w:val="articletitle"/>
    <w:basedOn w:val="Domylnaczcionkaakapitu"/>
    <w:rsid w:val="004D02BB"/>
  </w:style>
  <w:style w:type="character" w:customStyle="1" w:styleId="highlight">
    <w:name w:val="highlight"/>
    <w:basedOn w:val="Domylnaczcionkaakapitu"/>
    <w:rsid w:val="004D02BB"/>
  </w:style>
  <w:style w:type="paragraph" w:styleId="NormalnyWeb">
    <w:name w:val="Normal (Web)"/>
    <w:basedOn w:val="Normalny"/>
    <w:uiPriority w:val="99"/>
    <w:unhideWhenUsed/>
    <w:rsid w:val="0024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hidden">
    <w:name w:val="hidden"/>
    <w:basedOn w:val="Normalny"/>
    <w:rsid w:val="0024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0571A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571A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color w:val="auto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0571A4"/>
    <w:rPr>
      <w:rFonts w:ascii="Times" w:eastAsia="Times New Roman" w:hAnsi="Times" w:cs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5E60B8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48F"/>
    <w:pPr>
      <w:widowControl/>
      <w:autoSpaceDE/>
      <w:autoSpaceDN/>
      <w:adjustRightInd/>
      <w:spacing w:after="160" w:line="240" w:lineRule="auto"/>
    </w:pPr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48F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footnote">
    <w:name w:val="footnote"/>
    <w:basedOn w:val="Domylnaczcionkaakapitu"/>
    <w:rsid w:val="003E204B"/>
  </w:style>
  <w:style w:type="paragraph" w:customStyle="1" w:styleId="CM1">
    <w:name w:val="CM1"/>
    <w:basedOn w:val="Normalny"/>
    <w:next w:val="Normalny"/>
    <w:uiPriority w:val="99"/>
    <w:rsid w:val="008A24FB"/>
    <w:pPr>
      <w:autoSpaceDE w:val="0"/>
      <w:autoSpaceDN w:val="0"/>
      <w:adjustRightInd w:val="0"/>
      <w:spacing w:after="0" w:line="240" w:lineRule="auto"/>
    </w:pPr>
    <w:rPr>
      <w:rFonts w:ascii="EUAlbertina" w:eastAsiaTheme="minorEastAsia" w:hAnsi="EUAlbertina" w:cstheme="minorBidi"/>
      <w:color w:val="auto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8A24FB"/>
    <w:pPr>
      <w:autoSpaceDE w:val="0"/>
      <w:autoSpaceDN w:val="0"/>
      <w:adjustRightInd w:val="0"/>
      <w:spacing w:after="0" w:line="240" w:lineRule="auto"/>
    </w:pPr>
    <w:rPr>
      <w:rFonts w:ascii="EUAlbertina" w:eastAsiaTheme="minorEastAsia" w:hAnsi="EUAlbertina" w:cstheme="minorBidi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46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46D7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46D7"/>
    <w:rPr>
      <w:vertAlign w:val="superscript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D5488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customStyle="1" w:styleId="Normalny1">
    <w:name w:val="Normalny1"/>
    <w:basedOn w:val="Normalny"/>
    <w:rsid w:val="00FB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A5D6A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7C3259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F44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TIRzmtirartykuempunktem">
    <w:name w:val="Z/TIR – zm. tir. artykułem (punktem)"/>
    <w:basedOn w:val="Normalny"/>
    <w:next w:val="Normalny"/>
    <w:uiPriority w:val="33"/>
    <w:qFormat/>
    <w:rsid w:val="00110747"/>
    <w:pPr>
      <w:spacing w:after="0" w:line="360" w:lineRule="auto"/>
      <w:ind w:left="907" w:hanging="397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Normalny2">
    <w:name w:val="Normalny2"/>
    <w:basedOn w:val="Normalny"/>
    <w:rsid w:val="00045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1C087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1C0872"/>
    <w:rPr>
      <w:rFonts w:cstheme="minorBidi"/>
      <w:color w:val="auto"/>
    </w:rPr>
  </w:style>
  <w:style w:type="paragraph" w:customStyle="1" w:styleId="doc-ti">
    <w:name w:val="doc-ti"/>
    <w:basedOn w:val="Normalny"/>
    <w:rsid w:val="005C2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outputecliaff">
    <w:name w:val="outputecliaff"/>
    <w:basedOn w:val="Domylnaczcionkaakapitu"/>
    <w:rsid w:val="00676245"/>
  </w:style>
  <w:style w:type="paragraph" w:customStyle="1" w:styleId="ODNONIKtreodnonika">
    <w:name w:val="ODNOŚNIK – treść odnośnika"/>
    <w:uiPriority w:val="19"/>
    <w:qFormat/>
    <w:rsid w:val="00C40900"/>
    <w:pPr>
      <w:spacing w:after="0" w:line="240" w:lineRule="auto"/>
      <w:ind w:left="284" w:hanging="284"/>
      <w:jc w:val="both"/>
    </w:pPr>
    <w:rPr>
      <w:rFonts w:ascii="Times New Roman" w:hAnsi="Times New Roman" w:cs="Arial"/>
      <w:sz w:val="20"/>
      <w:szCs w:val="20"/>
    </w:rPr>
  </w:style>
  <w:style w:type="character" w:customStyle="1" w:styleId="IDindeksdolny">
    <w:name w:val="_ID_ – indeks dolny"/>
    <w:basedOn w:val="Domylnaczcionkaakapitu"/>
    <w:uiPriority w:val="3"/>
    <w:qFormat/>
    <w:rsid w:val="00C40900"/>
    <w:rPr>
      <w:b w:val="0"/>
      <w:i w:val="0"/>
      <w:vanish w:val="0"/>
      <w:spacing w:val="0"/>
      <w:vertAlign w:val="subscript"/>
    </w:rPr>
  </w:style>
  <w:style w:type="paragraph" w:customStyle="1" w:styleId="LITlitera">
    <w:name w:val="LIT – litera"/>
    <w:basedOn w:val="Normalny"/>
    <w:uiPriority w:val="14"/>
    <w:qFormat/>
    <w:rsid w:val="00395A3F"/>
    <w:pPr>
      <w:spacing w:after="0" w:line="360" w:lineRule="auto"/>
      <w:ind w:left="986" w:hanging="476"/>
      <w:jc w:val="both"/>
    </w:pPr>
    <w:rPr>
      <w:rFonts w:ascii="Times" w:eastAsia="Times New Roman" w:hAnsi="Times" w:cs="Arial"/>
      <w:bCs/>
      <w:color w:val="auto"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56540C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7E3505"/>
    <w:pPr>
      <w:ind w:left="987"/>
    </w:pPr>
  </w:style>
  <w:style w:type="paragraph" w:customStyle="1" w:styleId="TIRtiret">
    <w:name w:val="TIR – tiret"/>
    <w:basedOn w:val="LITlitera"/>
    <w:uiPriority w:val="15"/>
    <w:qFormat/>
    <w:rsid w:val="007E3505"/>
    <w:pPr>
      <w:ind w:left="1384" w:hanging="397"/>
    </w:pPr>
    <w:rPr>
      <w:rFonts w:eastAsiaTheme="minorEastAsia"/>
    </w:rPr>
  </w:style>
  <w:style w:type="paragraph" w:customStyle="1" w:styleId="ZLITPKTzmpktliter">
    <w:name w:val="Z_LIT/PKT – zm. pkt literą"/>
    <w:basedOn w:val="Normalny"/>
    <w:uiPriority w:val="47"/>
    <w:qFormat/>
    <w:rsid w:val="007E3505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PKTpunkt">
    <w:name w:val="PKT – punkt"/>
    <w:uiPriority w:val="13"/>
    <w:qFormat/>
    <w:rsid w:val="00BE11E6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3B2E1C"/>
    <w:pPr>
      <w:spacing w:line="360" w:lineRule="auto"/>
      <w:ind w:left="907" w:hanging="397"/>
    </w:pPr>
    <w:rPr>
      <w:sz w:val="24"/>
    </w:r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3B2E1C"/>
  </w:style>
  <w:style w:type="character" w:customStyle="1" w:styleId="IGindeksgrny">
    <w:name w:val="_IG_ – indeks górny"/>
    <w:basedOn w:val="Domylnaczcionkaakapitu"/>
    <w:uiPriority w:val="2"/>
    <w:qFormat/>
    <w:rsid w:val="00323928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6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7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5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99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83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813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738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848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250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7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33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45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7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97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12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5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55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27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5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1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15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043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81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06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448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945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986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1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9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0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5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7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7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3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3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9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97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00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19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326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37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28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153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019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4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14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36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3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60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8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B4AC-85E7-4F86-82FA-50858FF5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4436</Words>
  <Characters>26617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Tomasini-Lewandowska Joanna</dc:creator>
  <cp:lastModifiedBy>MOŁDAWSKA Agnieszka</cp:lastModifiedBy>
  <cp:revision>2</cp:revision>
  <dcterms:created xsi:type="dcterms:W3CDTF">2022-12-21T14:25:00Z</dcterms:created>
  <dcterms:modified xsi:type="dcterms:W3CDTF">2022-12-21T14:25:00Z</dcterms:modified>
</cp:coreProperties>
</file>